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81110D" w:rsidRDefault="00C26661" w:rsidP="001417DA">
      <w:pPr>
        <w:tabs>
          <w:tab w:val="left" w:pos="9540"/>
          <w:tab w:val="left" w:pos="9630"/>
          <w:tab w:val="left" w:pos="9990"/>
        </w:tabs>
        <w:jc w:val="both"/>
        <w:rPr>
          <w:rFonts w:ascii="Century Gothic" w:hAnsi="Century Gothic"/>
          <w:b/>
          <w:bCs/>
          <w:spacing w:val="-3"/>
          <w:sz w:val="22"/>
          <w:szCs w:val="22"/>
        </w:rPr>
      </w:pPr>
      <w:r w:rsidRPr="0081110D">
        <w:rPr>
          <w:rFonts w:ascii="Century Gothic" w:hAnsi="Century Gothic"/>
          <w:b/>
          <w:bCs/>
          <w:spacing w:val="-3"/>
          <w:sz w:val="22"/>
          <w:szCs w:val="22"/>
        </w:rPr>
        <w:t xml:space="preserve">SESIÓN DEL H. AYUNTAMIENTO No. </w:t>
      </w:r>
      <w:r w:rsidR="00A92C2B" w:rsidRPr="0081110D">
        <w:rPr>
          <w:rFonts w:ascii="Century Gothic" w:hAnsi="Century Gothic"/>
          <w:b/>
          <w:bCs/>
          <w:spacing w:val="-3"/>
          <w:sz w:val="22"/>
          <w:szCs w:val="22"/>
        </w:rPr>
        <w:t>60</w:t>
      </w:r>
      <w:r w:rsidRPr="0081110D">
        <w:rPr>
          <w:rFonts w:ascii="Century Gothic" w:hAnsi="Century Gothic"/>
          <w:b/>
          <w:bCs/>
          <w:spacing w:val="-3"/>
          <w:sz w:val="22"/>
          <w:szCs w:val="22"/>
        </w:rPr>
        <w:t xml:space="preserve"> </w:t>
      </w:r>
      <w:r w:rsidR="00A92C2B" w:rsidRPr="0081110D">
        <w:rPr>
          <w:rFonts w:ascii="Century Gothic" w:hAnsi="Century Gothic"/>
          <w:b/>
          <w:bCs/>
          <w:spacing w:val="-3"/>
          <w:sz w:val="22"/>
          <w:szCs w:val="22"/>
        </w:rPr>
        <w:t>EXTRA</w:t>
      </w:r>
      <w:r w:rsidR="00816193" w:rsidRPr="0081110D">
        <w:rPr>
          <w:rFonts w:ascii="Century Gothic" w:hAnsi="Century Gothic"/>
          <w:b/>
          <w:bCs/>
          <w:spacing w:val="-3"/>
          <w:sz w:val="22"/>
          <w:szCs w:val="22"/>
        </w:rPr>
        <w:t>ORDINARIA</w:t>
      </w:r>
      <w:r w:rsidRPr="0081110D">
        <w:rPr>
          <w:rFonts w:ascii="Century Gothic" w:hAnsi="Century Gothic"/>
          <w:b/>
          <w:bCs/>
          <w:spacing w:val="-3"/>
          <w:sz w:val="22"/>
          <w:szCs w:val="22"/>
        </w:rPr>
        <w:fldChar w:fldCharType="begin"/>
      </w:r>
      <w:r w:rsidRPr="0081110D">
        <w:rPr>
          <w:rFonts w:ascii="Century Gothic" w:hAnsi="Century Gothic"/>
          <w:b/>
          <w:bCs/>
          <w:spacing w:val="-3"/>
          <w:sz w:val="22"/>
          <w:szCs w:val="22"/>
        </w:rPr>
        <w:instrText xml:space="preserve">PRIVATE </w:instrText>
      </w:r>
      <w:r w:rsidRPr="0081110D">
        <w:rPr>
          <w:rFonts w:ascii="Century Gothic" w:hAnsi="Century Gothic"/>
          <w:b/>
          <w:bCs/>
          <w:spacing w:val="-3"/>
          <w:sz w:val="22"/>
          <w:szCs w:val="22"/>
        </w:rPr>
        <w:fldChar w:fldCharType="end"/>
      </w:r>
    </w:p>
    <w:p w:rsidR="00846FE6" w:rsidRPr="0081110D" w:rsidRDefault="00846FE6" w:rsidP="001417DA">
      <w:pPr>
        <w:jc w:val="both"/>
        <w:rPr>
          <w:rFonts w:ascii="Century Gothic" w:hAnsi="Century Gothic" w:cs="Arial"/>
          <w:sz w:val="22"/>
          <w:szCs w:val="22"/>
        </w:rPr>
      </w:pPr>
    </w:p>
    <w:p w:rsidR="000047DE" w:rsidRPr="0081110D" w:rsidRDefault="00590668" w:rsidP="001417DA">
      <w:pPr>
        <w:tabs>
          <w:tab w:val="left" w:pos="546"/>
          <w:tab w:val="left" w:pos="4455"/>
        </w:tabs>
        <w:jc w:val="both"/>
        <w:rPr>
          <w:rFonts w:ascii="Century Gothic" w:hAnsi="Century Gothic" w:cs="Arial"/>
          <w:sz w:val="22"/>
          <w:szCs w:val="22"/>
        </w:rPr>
      </w:pPr>
      <w:r w:rsidRPr="0081110D">
        <w:rPr>
          <w:rFonts w:ascii="Century Gothic" w:hAnsi="Century Gothic" w:cs="Arial"/>
          <w:sz w:val="22"/>
          <w:szCs w:val="22"/>
        </w:rPr>
        <w:tab/>
      </w:r>
      <w:r w:rsidR="000047DE" w:rsidRPr="0081110D">
        <w:rPr>
          <w:rFonts w:ascii="Century Gothic" w:hAnsi="Century Gothic" w:cs="Arial"/>
          <w:sz w:val="22"/>
          <w:szCs w:val="22"/>
        </w:rPr>
        <w:t xml:space="preserve">En la ciudad y Municipio de Juárez, Estado de Chihuahua, siendo las </w:t>
      </w:r>
      <w:r w:rsidR="0086718D" w:rsidRPr="0081110D">
        <w:rPr>
          <w:rFonts w:ascii="Century Gothic" w:hAnsi="Century Gothic" w:cs="Arial"/>
          <w:sz w:val="22"/>
          <w:szCs w:val="22"/>
        </w:rPr>
        <w:t xml:space="preserve">trece </w:t>
      </w:r>
      <w:r w:rsidR="000047DE" w:rsidRPr="0081110D">
        <w:rPr>
          <w:rFonts w:ascii="Century Gothic" w:hAnsi="Century Gothic" w:cs="Arial"/>
          <w:sz w:val="22"/>
          <w:szCs w:val="22"/>
        </w:rPr>
        <w:t xml:space="preserve">horas del día </w:t>
      </w:r>
      <w:r w:rsidR="00A92C2B" w:rsidRPr="0081110D">
        <w:rPr>
          <w:rFonts w:ascii="Century Gothic" w:hAnsi="Century Gothic" w:cs="Arial"/>
          <w:sz w:val="22"/>
          <w:szCs w:val="22"/>
        </w:rPr>
        <w:t xml:space="preserve">trece </w:t>
      </w:r>
      <w:r w:rsidR="000047DE" w:rsidRPr="0081110D">
        <w:rPr>
          <w:rFonts w:ascii="Century Gothic" w:hAnsi="Century Gothic" w:cs="Arial"/>
          <w:sz w:val="22"/>
          <w:szCs w:val="22"/>
        </w:rPr>
        <w:t xml:space="preserve">del mes de </w:t>
      </w:r>
      <w:r w:rsidR="000C1ED3" w:rsidRPr="0081110D">
        <w:rPr>
          <w:rFonts w:ascii="Century Gothic" w:hAnsi="Century Gothic" w:cs="Arial"/>
          <w:sz w:val="22"/>
          <w:szCs w:val="22"/>
        </w:rPr>
        <w:t xml:space="preserve">febrero </w:t>
      </w:r>
      <w:r w:rsidR="00F71636" w:rsidRPr="0081110D">
        <w:rPr>
          <w:rFonts w:ascii="Century Gothic" w:hAnsi="Century Gothic" w:cs="Arial"/>
          <w:sz w:val="22"/>
          <w:szCs w:val="22"/>
        </w:rPr>
        <w:t xml:space="preserve">del año dos mil </w:t>
      </w:r>
      <w:r w:rsidR="00A40A71" w:rsidRPr="0081110D">
        <w:rPr>
          <w:rFonts w:ascii="Century Gothic" w:hAnsi="Century Gothic" w:cs="Arial"/>
          <w:sz w:val="22"/>
          <w:szCs w:val="22"/>
        </w:rPr>
        <w:t>veinte</w:t>
      </w:r>
      <w:r w:rsidR="000047DE" w:rsidRPr="0081110D">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A92C2B" w:rsidRPr="0081110D">
        <w:rPr>
          <w:rFonts w:ascii="Century Gothic" w:hAnsi="Century Gothic" w:cs="Arial"/>
          <w:sz w:val="22"/>
          <w:szCs w:val="22"/>
        </w:rPr>
        <w:t>Extrao</w:t>
      </w:r>
      <w:r w:rsidR="000047DE" w:rsidRPr="0081110D">
        <w:rPr>
          <w:rFonts w:ascii="Century Gothic" w:hAnsi="Century Gothic" w:cs="Arial"/>
          <w:sz w:val="22"/>
          <w:szCs w:val="22"/>
        </w:rPr>
        <w:t>rdinaria del H. Ayuntamiento de este Municipio y Estado, la que se desarrolló conforme al siguiente:</w:t>
      </w:r>
    </w:p>
    <w:p w:rsidR="00846FE6" w:rsidRPr="0081110D" w:rsidRDefault="00846FE6" w:rsidP="001417DA">
      <w:pPr>
        <w:rPr>
          <w:rFonts w:ascii="Century Gothic" w:hAnsi="Century Gothic"/>
          <w:sz w:val="22"/>
          <w:szCs w:val="22"/>
        </w:rPr>
      </w:pPr>
    </w:p>
    <w:p w:rsidR="00846FE6" w:rsidRPr="0081110D" w:rsidRDefault="00846FE6" w:rsidP="001417DA">
      <w:pPr>
        <w:jc w:val="center"/>
        <w:rPr>
          <w:rFonts w:ascii="Century Gothic" w:hAnsi="Century Gothic" w:cs="Arial"/>
          <w:b/>
          <w:sz w:val="22"/>
          <w:szCs w:val="22"/>
        </w:rPr>
      </w:pPr>
      <w:r w:rsidRPr="0081110D">
        <w:rPr>
          <w:rFonts w:ascii="Century Gothic" w:hAnsi="Century Gothic" w:cs="Arial"/>
          <w:b/>
          <w:sz w:val="22"/>
          <w:szCs w:val="22"/>
        </w:rPr>
        <w:t>ORDEN DEL DÍA</w:t>
      </w:r>
    </w:p>
    <w:p w:rsidR="00F71636" w:rsidRPr="0081110D" w:rsidRDefault="00F71636" w:rsidP="001417DA">
      <w:pPr>
        <w:jc w:val="both"/>
        <w:rPr>
          <w:rFonts w:ascii="Century Gothic" w:hAnsi="Century Gothic" w:cs="Arial"/>
          <w:spacing w:val="-3"/>
          <w:sz w:val="22"/>
          <w:szCs w:val="22"/>
        </w:rPr>
      </w:pPr>
    </w:p>
    <w:p w:rsidR="000C7D59" w:rsidRPr="0081110D" w:rsidRDefault="000C7D59" w:rsidP="00A92C2B">
      <w:pPr>
        <w:pStyle w:val="Sinespaciado"/>
        <w:numPr>
          <w:ilvl w:val="0"/>
          <w:numId w:val="107"/>
        </w:numPr>
        <w:ind w:left="709" w:right="-1" w:hanging="709"/>
        <w:jc w:val="both"/>
        <w:rPr>
          <w:rFonts w:ascii="Century Gothic" w:hAnsi="Century Gothic" w:cs="Courier New"/>
          <w:sz w:val="22"/>
          <w:szCs w:val="22"/>
          <w:lang w:val="es-MX"/>
        </w:rPr>
      </w:pPr>
      <w:r w:rsidRPr="0081110D">
        <w:rPr>
          <w:rFonts w:ascii="Century Gothic" w:hAnsi="Century Gothic" w:cs="Courier New"/>
          <w:sz w:val="22"/>
          <w:szCs w:val="22"/>
          <w:lang w:val="es-MX"/>
        </w:rPr>
        <w:t>Lista de asistencia y declaración de quórum legal.</w:t>
      </w:r>
    </w:p>
    <w:p w:rsidR="000C7D59" w:rsidRPr="0081110D" w:rsidRDefault="000C7D59" w:rsidP="00A92C2B">
      <w:pPr>
        <w:pStyle w:val="Sinespaciado"/>
        <w:ind w:left="709" w:right="-1" w:hanging="709"/>
        <w:jc w:val="both"/>
        <w:rPr>
          <w:rStyle w:val="nfasis"/>
          <w:rFonts w:ascii="Century Gothic" w:hAnsi="Century Gothic"/>
          <w:i w:val="0"/>
          <w:sz w:val="22"/>
          <w:szCs w:val="22"/>
          <w:lang w:val="es-MX"/>
        </w:rPr>
      </w:pPr>
    </w:p>
    <w:p w:rsidR="000C7D59" w:rsidRPr="0081110D" w:rsidRDefault="00A92C2B" w:rsidP="00A92C2B">
      <w:pPr>
        <w:pStyle w:val="Sinespaciado"/>
        <w:numPr>
          <w:ilvl w:val="0"/>
          <w:numId w:val="107"/>
        </w:numPr>
        <w:ind w:left="709" w:right="-1" w:hanging="709"/>
        <w:jc w:val="both"/>
        <w:rPr>
          <w:rFonts w:ascii="Century Gothic" w:hAnsi="Century Gothic"/>
          <w:sz w:val="22"/>
          <w:szCs w:val="22"/>
          <w:lang w:val="es-MX"/>
        </w:rPr>
      </w:pPr>
      <w:r w:rsidRPr="0081110D">
        <w:rPr>
          <w:rFonts w:ascii="Century Gothic" w:hAnsi="Century Gothic" w:cs="Arial"/>
          <w:spacing w:val="-3"/>
          <w:sz w:val="22"/>
          <w:szCs w:val="22"/>
          <w:lang w:val="es-MX"/>
        </w:rPr>
        <w:t xml:space="preserve">Análisis, </w:t>
      </w:r>
      <w:r w:rsidRPr="0081110D">
        <w:rPr>
          <w:rFonts w:ascii="Century Gothic" w:hAnsi="Century Gothic" w:cs="Arial"/>
          <w:sz w:val="22"/>
          <w:szCs w:val="22"/>
          <w:lang w:val="es-MX"/>
        </w:rPr>
        <w:t xml:space="preserve">discusión y en su caso aprobación de la iniciativa que propone derogar el </w:t>
      </w:r>
      <w:r w:rsidRPr="0081110D">
        <w:rPr>
          <w:rFonts w:ascii="Century Gothic" w:hAnsi="Century Gothic"/>
          <w:sz w:val="22"/>
          <w:szCs w:val="22"/>
          <w:lang w:val="es-MX"/>
        </w:rPr>
        <w:t>Reglamento para la Ubicación y Operación de las Estaciones de Servicio para el Municipio de Juárez, Estado de Chihuahua</w:t>
      </w:r>
      <w:r w:rsidR="000C7D59" w:rsidRPr="0081110D">
        <w:rPr>
          <w:rFonts w:ascii="Century Gothic" w:hAnsi="Century Gothic" w:cs="Courier New"/>
          <w:sz w:val="22"/>
          <w:szCs w:val="22"/>
          <w:lang w:val="es-MX"/>
        </w:rPr>
        <w:t>.</w:t>
      </w:r>
    </w:p>
    <w:p w:rsidR="000C7D59" w:rsidRPr="0081110D" w:rsidRDefault="000C7D59" w:rsidP="00A92C2B">
      <w:pPr>
        <w:pStyle w:val="Sinespaciado"/>
        <w:ind w:left="709" w:right="-1" w:hanging="709"/>
        <w:jc w:val="both"/>
        <w:rPr>
          <w:rFonts w:ascii="Century Gothic" w:hAnsi="Century Gothic" w:cs="Courier New"/>
          <w:sz w:val="22"/>
          <w:szCs w:val="22"/>
          <w:lang w:val="es-MX"/>
        </w:rPr>
      </w:pPr>
    </w:p>
    <w:p w:rsidR="000C7D59" w:rsidRPr="0081110D" w:rsidRDefault="000C7D59" w:rsidP="001417DA">
      <w:pPr>
        <w:numPr>
          <w:ilvl w:val="0"/>
          <w:numId w:val="107"/>
        </w:numPr>
        <w:tabs>
          <w:tab w:val="left" w:pos="0"/>
        </w:tabs>
        <w:ind w:left="709" w:right="-1" w:hanging="709"/>
        <w:jc w:val="both"/>
        <w:rPr>
          <w:rFonts w:ascii="Century Gothic" w:hAnsi="Century Gothic" w:cs="Courier New"/>
          <w:sz w:val="22"/>
          <w:szCs w:val="22"/>
        </w:rPr>
      </w:pPr>
      <w:r w:rsidRPr="0081110D">
        <w:rPr>
          <w:rFonts w:ascii="Century Gothic" w:hAnsi="Century Gothic" w:cs="Courier New"/>
          <w:sz w:val="22"/>
          <w:szCs w:val="22"/>
        </w:rPr>
        <w:t>Clausura de la sesión.</w:t>
      </w:r>
    </w:p>
    <w:p w:rsidR="00A40A71" w:rsidRPr="0081110D" w:rsidRDefault="00A40A71" w:rsidP="001417DA">
      <w:pPr>
        <w:pStyle w:val="Prrafodelista"/>
        <w:tabs>
          <w:tab w:val="left" w:pos="993"/>
        </w:tabs>
        <w:ind w:left="993" w:hanging="851"/>
        <w:rPr>
          <w:rFonts w:ascii="Century Gothic" w:hAnsi="Century Gothic" w:cs="Courier New"/>
          <w:sz w:val="22"/>
          <w:szCs w:val="22"/>
        </w:rPr>
      </w:pPr>
    </w:p>
    <w:p w:rsidR="00AE661F" w:rsidRPr="0081110D" w:rsidRDefault="00AE661F" w:rsidP="001417DA">
      <w:pPr>
        <w:autoSpaceDE w:val="0"/>
        <w:autoSpaceDN w:val="0"/>
        <w:adjustRightInd w:val="0"/>
        <w:jc w:val="both"/>
        <w:rPr>
          <w:rFonts w:ascii="Century Gothic" w:hAnsi="Century Gothic" w:cs="Arial"/>
          <w:b/>
          <w:spacing w:val="-3"/>
          <w:sz w:val="22"/>
          <w:szCs w:val="22"/>
        </w:rPr>
      </w:pPr>
    </w:p>
    <w:p w:rsidR="007C4033" w:rsidRPr="0081110D" w:rsidRDefault="007C4033" w:rsidP="00A92C2B">
      <w:pPr>
        <w:autoSpaceDE w:val="0"/>
        <w:autoSpaceDN w:val="0"/>
        <w:adjustRightInd w:val="0"/>
        <w:jc w:val="both"/>
        <w:rPr>
          <w:rFonts w:ascii="Century Gothic" w:hAnsi="Century Gothic" w:cs="Arial"/>
          <w:sz w:val="22"/>
          <w:szCs w:val="22"/>
        </w:rPr>
      </w:pPr>
      <w:r w:rsidRPr="0081110D">
        <w:rPr>
          <w:rFonts w:ascii="Century Gothic" w:hAnsi="Century Gothic" w:cs="Arial"/>
          <w:b/>
          <w:spacing w:val="-3"/>
          <w:sz w:val="22"/>
          <w:szCs w:val="22"/>
        </w:rPr>
        <w:t>ASUNTO NUMERO UNO.-</w:t>
      </w:r>
      <w:r w:rsidRPr="0081110D">
        <w:rPr>
          <w:rFonts w:ascii="Century Gothic" w:hAnsi="Century Gothic" w:cs="Arial"/>
          <w:spacing w:val="-3"/>
          <w:sz w:val="22"/>
          <w:szCs w:val="22"/>
        </w:rPr>
        <w:t xml:space="preserve"> </w:t>
      </w:r>
      <w:r w:rsidRPr="0081110D">
        <w:rPr>
          <w:rFonts w:ascii="Century Gothic" w:hAnsi="Century Gothic" w:cs="Arial"/>
          <w:sz w:val="22"/>
          <w:szCs w:val="22"/>
        </w:rPr>
        <w:t xml:space="preserve">Conforme a la toma de lista de asistencia se encontraron presentes: </w:t>
      </w:r>
      <w:r w:rsidR="000C7D59" w:rsidRPr="0081110D">
        <w:rPr>
          <w:rFonts w:ascii="Century Gothic" w:hAnsi="Century Gothic" w:cs="Arial"/>
          <w:bCs/>
          <w:sz w:val="22"/>
          <w:szCs w:val="22"/>
        </w:rPr>
        <w:t xml:space="preserve">el ciudadano Presidente de la Sesión </w:t>
      </w:r>
      <w:r w:rsidR="000C7D59" w:rsidRPr="0081110D">
        <w:rPr>
          <w:rFonts w:ascii="Century Gothic" w:hAnsi="Century Gothic" w:cs="Arial"/>
          <w:sz w:val="22"/>
          <w:szCs w:val="22"/>
        </w:rPr>
        <w:t>CARLOS PONCE TORRES</w:t>
      </w:r>
      <w:r w:rsidRPr="0081110D">
        <w:rPr>
          <w:rFonts w:ascii="Century Gothic" w:hAnsi="Century Gothic" w:cs="Arial"/>
          <w:bCs/>
          <w:sz w:val="22"/>
          <w:szCs w:val="22"/>
        </w:rPr>
        <w:t xml:space="preserve">, ciudadana Síndica Municipal </w:t>
      </w:r>
      <w:r w:rsidRPr="0081110D">
        <w:rPr>
          <w:rFonts w:ascii="Century Gothic" w:hAnsi="Century Gothic" w:cs="Arial"/>
          <w:sz w:val="22"/>
          <w:szCs w:val="22"/>
        </w:rPr>
        <w:t>LETICIA ORTEGA MÁYNEZ</w:t>
      </w:r>
      <w:r w:rsidRPr="0081110D">
        <w:rPr>
          <w:rFonts w:ascii="Century Gothic" w:hAnsi="Century Gothic" w:cs="Arial"/>
          <w:bCs/>
          <w:sz w:val="22"/>
          <w:szCs w:val="22"/>
        </w:rPr>
        <w:t xml:space="preserve"> y los ciudadanos Regidores </w:t>
      </w:r>
      <w:r w:rsidRPr="0081110D">
        <w:rPr>
          <w:rFonts w:ascii="Century Gothic" w:hAnsi="Century Gothic" w:cs="Arial"/>
          <w:sz w:val="22"/>
          <w:szCs w:val="22"/>
        </w:rPr>
        <w:t>JACQUELINE ARMENDÁRIZ MARTÍNEZ, AMPARO BELTRÁN CEBALLOS, OLIVIA BONILLA SOTO, PERLA PATRICIA BUSTAMANTE CORONA, RENÉ CARRASCO ROJO, LUZ ELENA ESQUIVEL SÁENZ, ÓSCAR ARTURO GALLEGOS GONZÁLEZ, MÓNICA PATRICIA MENDOZA RÍOS, JUANA REYES ESPEJO, MARTHA LETICIA REYES MARTÍNEZ, LAURA YANELY RODRÍGUEZ MIRELES, SILVIA SÁNCHEZ MÁRQUEZ, ALFREDO SEÁÑEZ NÁJERA, MAGDALENO SILVA LÓPEZ, JOSÉ UBALDO</w:t>
      </w:r>
      <w:r w:rsidR="00A92C2B" w:rsidRPr="0081110D">
        <w:rPr>
          <w:rFonts w:ascii="Century Gothic" w:hAnsi="Century Gothic" w:cs="Arial"/>
          <w:sz w:val="22"/>
          <w:szCs w:val="22"/>
        </w:rPr>
        <w:t xml:space="preserve"> SOLÍS y ENRIQUE TORRES VALADEZ</w:t>
      </w:r>
      <w:r w:rsidRPr="0081110D">
        <w:rPr>
          <w:rFonts w:ascii="Century Gothic" w:hAnsi="Century Gothic" w:cs="Arial"/>
          <w:bCs/>
          <w:sz w:val="22"/>
          <w:szCs w:val="22"/>
        </w:rPr>
        <w:t xml:space="preserve">; así como el ciudadano Licenciado MACLOVIO MURILLO CHÁVEZ, Secretario de la Presidencia Municipal y del Honorable Ayuntamiento. </w:t>
      </w:r>
      <w:r w:rsidR="000C7D59" w:rsidRPr="0081110D">
        <w:rPr>
          <w:rFonts w:ascii="Century Gothic" w:hAnsi="Century Gothic" w:cs="Arial"/>
          <w:bCs/>
          <w:sz w:val="22"/>
          <w:szCs w:val="22"/>
        </w:rPr>
        <w:t xml:space="preserve">Se hace constar que el ciudadano HÉCTOR ARMANDO CABADA ALVÍDREZ, Presidente Municipal, se encontró ausente, dado que se encuentra gozando de una licencia. </w:t>
      </w:r>
      <w:r w:rsidR="00A92C2B" w:rsidRPr="0081110D">
        <w:rPr>
          <w:rFonts w:ascii="Century Gothic" w:hAnsi="Century Gothic" w:cs="Arial"/>
          <w:bCs/>
          <w:sz w:val="22"/>
          <w:szCs w:val="22"/>
        </w:rPr>
        <w:t xml:space="preserve">Asimismo, se dio cuenta de las ausencias debidamente justificadas de los Regidores </w:t>
      </w:r>
      <w:r w:rsidR="00A92C2B" w:rsidRPr="0081110D">
        <w:rPr>
          <w:rFonts w:ascii="Century Gothic" w:hAnsi="Century Gothic" w:cs="Arial"/>
          <w:sz w:val="22"/>
          <w:szCs w:val="22"/>
        </w:rPr>
        <w:t>JESÚS JOSÉ DÍAZ MONÁRREZ, ALBERTO ENRIQUE GUZMÁN AGUILAR y MARÍA DEL ROSARIO VALADEZ ARANDA.</w:t>
      </w:r>
    </w:p>
    <w:p w:rsidR="000F5926" w:rsidRPr="0081110D" w:rsidRDefault="000F5926" w:rsidP="001417DA">
      <w:pPr>
        <w:autoSpaceDE w:val="0"/>
        <w:autoSpaceDN w:val="0"/>
        <w:adjustRightInd w:val="0"/>
        <w:jc w:val="both"/>
        <w:rPr>
          <w:rFonts w:ascii="Century Gothic" w:hAnsi="Century Gothic" w:cs="Arial"/>
          <w:sz w:val="22"/>
          <w:szCs w:val="22"/>
        </w:rPr>
      </w:pPr>
    </w:p>
    <w:p w:rsidR="006B3525" w:rsidRPr="0081110D" w:rsidRDefault="006B3525" w:rsidP="001417DA">
      <w:pPr>
        <w:autoSpaceDE w:val="0"/>
        <w:autoSpaceDN w:val="0"/>
        <w:adjustRightInd w:val="0"/>
        <w:jc w:val="both"/>
        <w:rPr>
          <w:rFonts w:ascii="Century Gothic" w:hAnsi="Century Gothic" w:cs="Arial"/>
          <w:sz w:val="22"/>
          <w:szCs w:val="22"/>
        </w:rPr>
      </w:pPr>
    </w:p>
    <w:p w:rsidR="000F5926" w:rsidRPr="0081110D" w:rsidRDefault="000F5926" w:rsidP="001417DA">
      <w:pPr>
        <w:autoSpaceDE w:val="0"/>
        <w:autoSpaceDN w:val="0"/>
        <w:adjustRightInd w:val="0"/>
        <w:jc w:val="both"/>
        <w:rPr>
          <w:rFonts w:ascii="Century Gothic" w:hAnsi="Century Gothic" w:cs="Arial"/>
          <w:sz w:val="22"/>
          <w:szCs w:val="22"/>
        </w:rPr>
      </w:pPr>
      <w:r w:rsidRPr="0081110D">
        <w:rPr>
          <w:rFonts w:ascii="Century Gothic" w:hAnsi="Century Gothic" w:cs="Arial"/>
          <w:sz w:val="22"/>
          <w:szCs w:val="22"/>
        </w:rPr>
        <w:t xml:space="preserve">Estando presentes la </w:t>
      </w:r>
      <w:r w:rsidR="000C7D59" w:rsidRPr="0081110D">
        <w:rPr>
          <w:rFonts w:ascii="Century Gothic" w:hAnsi="Century Gothic" w:cs="Arial"/>
          <w:sz w:val="22"/>
          <w:szCs w:val="22"/>
        </w:rPr>
        <w:t>mayoría</w:t>
      </w:r>
      <w:r w:rsidR="007C4033" w:rsidRPr="0081110D">
        <w:rPr>
          <w:rFonts w:ascii="Century Gothic" w:hAnsi="Century Gothic" w:cs="Arial"/>
          <w:sz w:val="22"/>
          <w:szCs w:val="22"/>
        </w:rPr>
        <w:t xml:space="preserve"> </w:t>
      </w:r>
      <w:r w:rsidRPr="0081110D">
        <w:rPr>
          <w:rFonts w:ascii="Century Gothic" w:hAnsi="Century Gothic" w:cs="Arial"/>
          <w:sz w:val="22"/>
          <w:szCs w:val="22"/>
        </w:rPr>
        <w:t xml:space="preserve">de los miembros del Honorable Ayuntamiento del Municipio de Juárez, Chihuahua y habiéndose certificado por el </w:t>
      </w:r>
      <w:r w:rsidRPr="0081110D">
        <w:rPr>
          <w:rFonts w:ascii="Century Gothic" w:hAnsi="Century Gothic" w:cs="Arial"/>
          <w:bCs/>
          <w:sz w:val="22"/>
          <w:szCs w:val="22"/>
        </w:rPr>
        <w:t>Secretario de la Presidencia Municipal y del Honorable Ayunta</w:t>
      </w:r>
      <w:r w:rsidRPr="0081110D">
        <w:rPr>
          <w:rFonts w:ascii="Century Gothic" w:hAnsi="Century Gothic" w:cs="Arial"/>
          <w:bCs/>
          <w:sz w:val="22"/>
          <w:szCs w:val="22"/>
        </w:rPr>
        <w:softHyphen/>
        <w:t>miento</w:t>
      </w:r>
      <w:r w:rsidRPr="0081110D">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81110D" w:rsidRDefault="000047DE" w:rsidP="001417DA">
      <w:pPr>
        <w:tabs>
          <w:tab w:val="left" w:pos="546"/>
          <w:tab w:val="left" w:pos="4455"/>
        </w:tabs>
        <w:jc w:val="both"/>
        <w:rPr>
          <w:rFonts w:ascii="Century Gothic" w:hAnsi="Century Gothic" w:cs="Arial"/>
          <w:b/>
          <w:sz w:val="22"/>
          <w:szCs w:val="22"/>
        </w:rPr>
      </w:pPr>
    </w:p>
    <w:p w:rsidR="00481D92" w:rsidRPr="0081110D" w:rsidRDefault="00481D92" w:rsidP="001417DA">
      <w:pPr>
        <w:tabs>
          <w:tab w:val="left" w:pos="546"/>
          <w:tab w:val="left" w:pos="4455"/>
        </w:tabs>
        <w:jc w:val="both"/>
        <w:rPr>
          <w:rFonts w:ascii="Century Gothic" w:hAnsi="Century Gothic" w:cs="Arial"/>
          <w:b/>
          <w:sz w:val="22"/>
          <w:szCs w:val="22"/>
        </w:rPr>
      </w:pPr>
    </w:p>
    <w:p w:rsidR="00AD2C87" w:rsidRPr="001C64D5" w:rsidRDefault="00AD2C87" w:rsidP="00AD2C87">
      <w:pPr>
        <w:ind w:right="67"/>
        <w:jc w:val="both"/>
        <w:rPr>
          <w:rFonts w:ascii="Century Gothic" w:hAnsi="Century Gothic" w:cs="Arial"/>
          <w:sz w:val="22"/>
          <w:szCs w:val="22"/>
        </w:rPr>
      </w:pPr>
      <w:r w:rsidRPr="0081110D">
        <w:rPr>
          <w:rFonts w:ascii="Century Gothic" w:hAnsi="Century Gothic" w:cs="Arial"/>
          <w:b/>
          <w:bCs/>
          <w:spacing w:val="-3"/>
          <w:sz w:val="22"/>
          <w:szCs w:val="22"/>
        </w:rPr>
        <w:t>ASUNTO NÚMERO DOS.-</w:t>
      </w:r>
      <w:r w:rsidRPr="0081110D">
        <w:rPr>
          <w:rFonts w:ascii="Century Gothic" w:hAnsi="Century Gothic" w:cs="Arial"/>
          <w:bCs/>
          <w:spacing w:val="-3"/>
          <w:sz w:val="22"/>
          <w:szCs w:val="22"/>
        </w:rPr>
        <w:t xml:space="preserve"> Relativo al</w:t>
      </w:r>
      <w:r w:rsidRPr="0081110D">
        <w:rPr>
          <w:rFonts w:ascii="Century Gothic" w:hAnsi="Century Gothic" w:cs="Arial"/>
          <w:sz w:val="22"/>
          <w:szCs w:val="22"/>
        </w:rPr>
        <w:t xml:space="preserve"> </w:t>
      </w:r>
      <w:r w:rsidRPr="0081110D">
        <w:rPr>
          <w:rFonts w:ascii="Century Gothic" w:hAnsi="Century Gothic" w:cs="Arial"/>
          <w:spacing w:val="-3"/>
          <w:sz w:val="22"/>
          <w:szCs w:val="22"/>
        </w:rPr>
        <w:t xml:space="preserve">análisis, </w:t>
      </w:r>
      <w:r w:rsidRPr="0081110D">
        <w:rPr>
          <w:rFonts w:ascii="Century Gothic" w:hAnsi="Century Gothic" w:cs="Arial"/>
          <w:sz w:val="22"/>
          <w:szCs w:val="22"/>
        </w:rPr>
        <w:t xml:space="preserve">discusión y en su caso aprobación de la iniciativa que propone </w:t>
      </w:r>
      <w:r>
        <w:rPr>
          <w:rFonts w:ascii="Century Gothic" w:hAnsi="Century Gothic" w:cs="Arial"/>
          <w:sz w:val="22"/>
          <w:szCs w:val="22"/>
        </w:rPr>
        <w:t>der</w:t>
      </w:r>
      <w:r w:rsidRPr="0081110D">
        <w:rPr>
          <w:rFonts w:ascii="Century Gothic" w:hAnsi="Century Gothic" w:cs="Arial"/>
          <w:sz w:val="22"/>
          <w:szCs w:val="22"/>
        </w:rPr>
        <w:t>ogar el Reglamento para la Ubicación y Operación de las Estaciones de Servicio para el Municipio de Juárez, Estado de Chihuahua</w:t>
      </w:r>
      <w:r w:rsidRPr="001C64D5">
        <w:rPr>
          <w:rFonts w:ascii="Century Gothic" w:eastAsia="Calibri" w:hAnsi="Century Gothic" w:cs="Arial"/>
          <w:sz w:val="22"/>
          <w:szCs w:val="22"/>
        </w:rPr>
        <w:t xml:space="preserve">.  En uso de la palabra el Presidente de la Sesión Regidor Carlos Ponce Torres, manifestó lo siguiente: </w:t>
      </w:r>
      <w:r w:rsidRPr="001C64D5">
        <w:rPr>
          <w:rFonts w:ascii="Century Gothic" w:hAnsi="Century Gothic" w:cs="Arial"/>
          <w:sz w:val="22"/>
          <w:szCs w:val="22"/>
        </w:rPr>
        <w:t>En primer lugar, quiero hacer mía la propuesta que suscribió El Presidente Municipal Héctor Armando Cabada Alvídrez, para derogar o abrogar el Reglamento para la Ubicación y Operación de las Estaciones de Servicio del Municipio de Juárez, Estado de Chihuahua.</w:t>
      </w:r>
      <w:r>
        <w:rPr>
          <w:rFonts w:ascii="Century Gothic" w:hAnsi="Century Gothic" w:cs="Arial"/>
          <w:sz w:val="22"/>
          <w:szCs w:val="22"/>
        </w:rPr>
        <w:t xml:space="preserve"> </w:t>
      </w:r>
    </w:p>
    <w:p w:rsidR="00AD2C87" w:rsidRDefault="00AD2C87" w:rsidP="00AD2C87">
      <w:pPr>
        <w:jc w:val="both"/>
        <w:rPr>
          <w:rFonts w:ascii="Century Gothic" w:eastAsia="Calibri" w:hAnsi="Century Gothic" w:cs="Arial"/>
          <w:sz w:val="22"/>
          <w:szCs w:val="22"/>
        </w:rPr>
      </w:pPr>
      <w:r w:rsidRPr="001C64D5">
        <w:rPr>
          <w:rFonts w:ascii="Century Gothic" w:hAnsi="Century Gothic" w:cs="Arial"/>
          <w:sz w:val="22"/>
          <w:szCs w:val="22"/>
        </w:rPr>
        <w:t xml:space="preserve">Considero que esa propuesta debe ser aprobada, porque tal y como de forma muy clara se expone en la propia iniciativa, las cuestiones que regula el citado reglamento en vigor, ahora son competencia exclusiva de la Federación. </w:t>
      </w:r>
      <w:r w:rsidRPr="001C64D5">
        <w:rPr>
          <w:rFonts w:ascii="Century Gothic" w:eastAsia="Calibri" w:hAnsi="Century Gothic" w:cs="Arial"/>
          <w:sz w:val="22"/>
          <w:szCs w:val="22"/>
        </w:rPr>
        <w:t>En primera instancia se solicitó la dispensa del dictamen por parte del Presidente de la Sesión, lo cual fue debidamente secundado por el Regidor Alfredo Seáñez Nájera y al someterse a votación dicha propuesta fue aprobada por mayoría de catorce votos a favor y tres votos en contra de los Regidores Laura Yanely Rodríguez Mireles, Olivia Bonilla Soto y Magdaleno Silva López.  Acto seguido en uso de la palabra la Regidora Laura Yanely Rodríguez Mireles propuso una modificación al proyecto presentado, para que diga “abrogar” en vez de “derogar”, lo cual fue debidamente secundado por la Regidora Mónica Patricia Mendoza Ríos y aprobado por unanimidad</w:t>
      </w:r>
      <w:r>
        <w:rPr>
          <w:rFonts w:ascii="Century Gothic" w:eastAsia="Calibri" w:hAnsi="Century Gothic" w:cs="Arial"/>
          <w:sz w:val="22"/>
          <w:szCs w:val="22"/>
        </w:rPr>
        <w:t xml:space="preserve"> de votos. Enseguida se sometió al análisis y discusión la iniciativa presentada; y después de haberse vertido diversos posicionamientos y una vez agotadas las participaciones de los Regidores, se sometió a votación nominal, solicitando el Presidente de la Sesión que cada Regidor dijera su nombre y el sentido de su voto, a lo cual votaron aprobando al proyecto modificado los siguientes Regidores: Óscar Arturo Gallegos González, Laura Yanely Rodríguez </w:t>
      </w:r>
      <w:r>
        <w:rPr>
          <w:rFonts w:ascii="Century Gothic" w:eastAsia="Calibri" w:hAnsi="Century Gothic" w:cs="Arial"/>
          <w:sz w:val="22"/>
          <w:szCs w:val="22"/>
        </w:rPr>
        <w:lastRenderedPageBreak/>
        <w:t>Mireles, Enrique Torres Valadez, Amparo Beltrán Ceballos, José Ubaldo Solís, Juana Reyes Espejo, Martha Leticia Reyes Martínez, René Carrasco Rojo, Jacqueline Armendáriz Martínez, Carlos Ponce Torres, Mónica Patricia Mendoza Ríos, Alfredo Seáñez Nájera, Perla Patricia Bustamante Corona, Silvia Sánchez Márquez y Luz Elena Esquivel Sáenz, y en contra los Regidores Olivia Bonilla Soto y Magdaleno Silva López. Al hacer el respectivo cómputo de votos, el Secretario del Ayuntamiento informó que a favor de la propuesta existen quince votos y dos votos en contra, y debido a eso, el Presidente de la Sesión declaró aprobada la propuesta por mayoría de votos, quedando aprobado el acuerdo siguiente:</w:t>
      </w:r>
    </w:p>
    <w:p w:rsidR="00AD2C87" w:rsidRPr="0081110D" w:rsidRDefault="00AD2C87" w:rsidP="00AD2C87">
      <w:pPr>
        <w:ind w:right="67"/>
        <w:jc w:val="both"/>
        <w:rPr>
          <w:rFonts w:ascii="Century Gothic" w:eastAsia="Calibri" w:hAnsi="Century Gothic" w:cs="Arial"/>
          <w:sz w:val="22"/>
          <w:szCs w:val="22"/>
        </w:rPr>
      </w:pPr>
    </w:p>
    <w:p w:rsidR="002C2030" w:rsidRPr="0081110D" w:rsidRDefault="002C2030" w:rsidP="002C2030">
      <w:pPr>
        <w:ind w:right="67"/>
        <w:jc w:val="both"/>
        <w:rPr>
          <w:rFonts w:ascii="Century Gothic" w:hAnsi="Century Gothic" w:cs="Arial"/>
          <w:sz w:val="22"/>
          <w:szCs w:val="22"/>
        </w:rPr>
      </w:pPr>
      <w:bookmarkStart w:id="0" w:name="_GoBack"/>
      <w:bookmarkEnd w:id="0"/>
      <w:r w:rsidRPr="0081110D">
        <w:rPr>
          <w:rFonts w:ascii="Century Gothic" w:hAnsi="Century Gothic" w:cs="Arial"/>
          <w:b/>
          <w:bCs/>
          <w:sz w:val="22"/>
          <w:szCs w:val="22"/>
        </w:rPr>
        <w:t xml:space="preserve">RESULTANDOS: I.- </w:t>
      </w:r>
      <w:r w:rsidRPr="0081110D">
        <w:rPr>
          <w:rFonts w:ascii="Century Gothic" w:hAnsi="Century Gothic" w:cs="Arial"/>
          <w:sz w:val="22"/>
          <w:szCs w:val="22"/>
        </w:rPr>
        <w:t>En materia de compra de diésel y gasolinas, el Municipio de Juárez, Chihuahua, y especialmente Ciudad Juárez, dada su cercanía a la vecina Ciudad de El Paso Texas, Estados Unidos, presenta un fenómeno especial, pues tradicionalmente ha ocurrido que cuando en una u otra ciudad, esos derivados del petróleo son más baratos, los habitantes acuden a surtir sus automóviles, generándose así un ahorro en la economía de los mismos, y también una derrama económica para la zona, pues al acudir no solamente se surte el combustible, sino generalmente se realiza algún otro tipo de compra que ponencia el comercio.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Actualmente en la Ciudad, existen varias empresas y/o particulares, dedicados al expendio de gasolinas y diésel, y eso ha provocado cierta competencia que favorece no solo el precio sino también la calidad de los combustibles que se ofertan en el mercado, así como el buen servicio, beneficiándose así a la comunidad en general.</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Sin embargo, ciertos grupos se han opuesto férreamente a la apertura de nuevas estaciones de servicio, anteponiendo su interés particular al de la comunidad. Y para eso, inclusive han promovido juicios de amparo, evitando la libre competencia en detrimento de la sociedad en general, para lo cual, se han apoyado en las disposiciones del Reglamento para la Ubicación de las Estaciones de Servicio para el Municipio de Juárez, las que, como se verá, han sido declaradas contrarias a los principios fundamentales que establece la Constitución Política de los Estados Unidos Mexicanos y a todas las leyes y disposiciones que integraron la Reforma Energética, la cual, otorgó facultad exclusiva a la federación, para regular tanto la construcción, operación, como todo lo relacionado a los centros de expendio de los referidos combustibles.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center"/>
        <w:rPr>
          <w:rFonts w:ascii="Century Gothic" w:hAnsi="Century Gothic" w:cs="Arial"/>
          <w:b/>
          <w:sz w:val="22"/>
          <w:szCs w:val="22"/>
        </w:rPr>
      </w:pPr>
      <w:r w:rsidRPr="0081110D">
        <w:rPr>
          <w:rFonts w:ascii="Century Gothic" w:hAnsi="Century Gothic" w:cs="Arial"/>
          <w:b/>
          <w:sz w:val="22"/>
          <w:szCs w:val="22"/>
        </w:rPr>
        <w:t>CONSIDERACIONES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 xml:space="preserve">1.- </w:t>
      </w:r>
      <w:r w:rsidRPr="0081110D">
        <w:rPr>
          <w:rFonts w:ascii="Century Gothic" w:hAnsi="Century Gothic" w:cs="Arial"/>
          <w:sz w:val="22"/>
          <w:szCs w:val="22"/>
        </w:rPr>
        <w:t xml:space="preserve">El Reglamento para la Ubicación y Operación de las Estaciones de Servicios, aprobado en sesión del Honorable Ayuntamiento desde el 26 de abril de 2003 y publicado  en el Periódico Oficial del Estado en 14 de Diciembre de 2005, regula la ubicación, construcción y operación de las llamadas </w:t>
      </w:r>
      <w:r w:rsidRPr="0081110D">
        <w:rPr>
          <w:rFonts w:ascii="Century Gothic" w:hAnsi="Century Gothic" w:cs="Arial"/>
          <w:b/>
          <w:sz w:val="22"/>
          <w:szCs w:val="22"/>
        </w:rPr>
        <w:t>“gasolinerías” o “estaciones de servicio”</w:t>
      </w:r>
      <w:r w:rsidRPr="0081110D">
        <w:rPr>
          <w:rFonts w:ascii="Century Gothic" w:hAnsi="Century Gothic" w:cs="Arial"/>
          <w:sz w:val="22"/>
          <w:szCs w:val="22"/>
        </w:rPr>
        <w:t>, que entre otras cosas expenden al público en general, los petrolíferos como diésel, gasolina y aceites, atendiendo parámetros o criterios que esencialmente tienen que ver con seguridad, medio ambiente y equilibrio ecológico, además de cuestiones relacionadas con protección civil y desarrollo urbano, estableciendo especificaciones de construcción y operación, así como facultades de inspección y vigilancia para las autoridades municipales y la competencia para imponer sanciones y medidas de seguridad.</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 xml:space="preserve">2.- </w:t>
      </w:r>
      <w:r w:rsidRPr="0081110D">
        <w:rPr>
          <w:rFonts w:ascii="Century Gothic" w:hAnsi="Century Gothic" w:cs="Arial"/>
          <w:sz w:val="22"/>
          <w:szCs w:val="22"/>
        </w:rPr>
        <w:t>Muy posteriormente a la expedición y publicación de referido Reglamento Municipal, concretamente el 20 de diciembre de 2013, se publicó la reforma y adición a diversas disposiciones de la Constitución Política de los Estados Unidos Mexicanos, y en relación a los artículos 25, 27 y 28, en la parte que regulan la materia de hidrocarburos y aquí interesa, quedaron de la manera siguiente:</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 </w:t>
      </w: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sz w:val="22"/>
          <w:szCs w:val="22"/>
        </w:rPr>
        <w:t xml:space="preserve"> </w:t>
      </w:r>
      <w:r w:rsidRPr="0081110D">
        <w:rPr>
          <w:rFonts w:ascii="Century Gothic" w:hAnsi="Century Gothic" w:cs="Arial"/>
          <w:b/>
          <w:i/>
          <w:sz w:val="22"/>
          <w:szCs w:val="22"/>
        </w:rPr>
        <w:t xml:space="preserve">“Artículo 25.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esta Constitución. La competitividad se entenderá como el conjunto de condiciones necesarias para generar un mayor crecimiento económico, promoviendo la inversión y la generación de empleo.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El Estado planeará, conducirá, coordinará y orientará la actividad económica nacional, y llevará al cabo la regulación y fomento de las actividades que demande el interés general en el marco de libertades que otorga esta Constitución.</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Al desarrollo económico nacional concurrirán, con responsabilidad social, el sector público, el sector social y el sector privado, sin menoscabo de otras formas de actividad económica que contribuyan al desarrollo de la Nación.</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El sector público tendrá a su cargo, de manera exclusiva, las áreas estratégicas que se señalan en el artículo 28, párrafo cuarto de la Constitución, manteniendo siempre el Gobierno Federal la propiedad y el control sobre los organismos y empresas productivas del Estado que en su caso se establezcan. 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productivas del Estado, así como el régimen de remuneraciones de su personal, para garantizar su eficacia, eficiencia, honestidad, productividad, transparencia y rendición de cuentas, con base en las mejores prácticas, y determinará las demás actividades que podrán realizar…”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i/>
          <w:sz w:val="22"/>
          <w:szCs w:val="22"/>
        </w:rPr>
        <w:t>“</w:t>
      </w:r>
      <w:r w:rsidRPr="0081110D">
        <w:rPr>
          <w:rFonts w:ascii="Century Gothic" w:hAnsi="Century Gothic" w:cs="Arial"/>
          <w:b/>
          <w:i/>
          <w:sz w:val="22"/>
          <w:szCs w:val="22"/>
        </w:rPr>
        <w:t>Artículo 27. 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Las expropiaciones sólo podrán hacerse por causa de utilidad pública y mediante indemnización.</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 sociedad.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Son propiedad de la Nación las aguas de los mares territoriales en la extensión y términos que fije (sic) Derecho Internacional; las aguas marinas interiores; las de las lagunas y esteros que se comuniquen permanente o intermitentemente con el mar; las de los lagos interiores de formación natural que estén ligados directamente a corrientes constantes; las de los ríos y sus afluentes directos o indirectos, desde el punto del cauce en que se inicien las primeras aguas permanentes, intermitentes o torrenciales, hasta su desembocadura en el mar, lagos, lagunas o esteros de propiedad nacional; las de las corrientes constantes o interminentes (sic)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w:t>
      </w:r>
      <w:r w:rsidRPr="0081110D">
        <w:rPr>
          <w:rFonts w:ascii="Century Gothic" w:hAnsi="Century Gothic" w:cs="Arial"/>
          <w:b/>
          <w:i/>
          <w:sz w:val="22"/>
          <w:szCs w:val="22"/>
        </w:rPr>
        <w:lastRenderedPageBreak/>
        <w:t xml:space="preserve">lagunas o esteros cuyos vasos, zonas o riberas, estén cruzadas por líneas divisorias de dos o más entidades o entre la República y un país vecino, o cuando el límite de las riberas sirva de lindero entre dos entidades 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 por los que corran o en los que se encuentren sus depósitos, pero si se localizaren en dos o más predios, el aprovechamiento de estas aguas se considerará de utilidad pública, y quedará sujeto a las disposiciones que dicten los Estados.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salvo en radiodifusión y telecomunicaciones, que serán otorgadas por el Instituto Federal de Telecomunicaciones.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no se otorgarán concesiones. Corresponde exclusivamente a la Nación la planeación y el control del sistema eléctrico nacional, así como el servicio público de transmisión y distribución de energía eléctrica; en estas actividades no se otorgarán concesiones, sin perjuicio de que el Estado pueda celebrar contratos con particulares en los términos que establezcan las leyes, mismas que determinarán la forma en que los particulares podrán participar en las demás actividades de la industria eléctrica.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Tratándose del petróleo y de los hidrocarburos sólidos, líquidos o gaseosos, en el subsuelo, la propiedad de la Nación es inalienable e imprescriptible y no se otorgarán concesiones. Con el propósito de obtener ingresos para el Estado que contribuyan al desarrollo de largo plazo de la Nación, ésta llevará a cabo las actividades de exploración y extracción del petróleo y demás hidrocarburos mediante asignaciones a empresas productivas del Estado o a través de contratos con éstas o con particulares, en los términos de la Ley Reglamentaria. Para cumplir con el objeto de dichas asignaciones o contratos las empresas productivas del Estado podrán contratar con particulares. En cualquier caso, los hidrocarburos en el subsuelo son propiedad de la Nación y así deberá afirmarse en las asignaciones o contratos. Corresponde también a la Nación el aprovechamiento de los combustibles nucleares para la generación de energía nuclear y la regulación de sus aplicaciones en otros propósitos. El uso de la energía nuclear sólo podrá tener fines pacíficos.</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La Nación ejerce en una zona económica exclusiva situada fuera del mar territorial y adyacente a éste, los derechos de soberanía y las jurisdicciones que determinen las leyes del Congreso. La zona 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“Artículo 28. En los Estados Unidos Mexicanos quedan prohibidos los monopolios, las prácticas monopólicas, los estancos y las exenciones de impuestos en los términos y condiciones que fijan las leyes. El mismo tratamiento se dará a las prohibiciones a título de protección a la industria.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…El Poder Ejecutivo contará con los órganos reguladores coordinados en materia energética, denominados Comisión Nacional de Hidrocarburos y Comisión Reguladora de Energía, en los términos que determine la ley.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 </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b/>
          <w:sz w:val="22"/>
          <w:szCs w:val="22"/>
          <w:u w:val="single"/>
        </w:rPr>
      </w:pPr>
      <w:r w:rsidRPr="0081110D">
        <w:rPr>
          <w:rFonts w:ascii="Century Gothic" w:hAnsi="Century Gothic" w:cs="Arial"/>
          <w:sz w:val="22"/>
          <w:szCs w:val="22"/>
        </w:rPr>
        <w:t xml:space="preserve">Los preceptos constitucionales referidos, en su parte transcrita prevén entre otras cosas, que corresponde al estado mexicano la rectoría del desarrollo nacional para garantizar que éste sea integral y sustentable, para que sea fortalecida la Soberanía de la Nación y su régimen democrático; y, mediante la competitividad, el fomento del crecimiento económico y el empleo y una más justa distribución del ingreso y la riqueza en todo el País. Y se precisa que el sector público tendrá a su cargo, de manera exclusiva, entre otras áreas, la exploración y extracción de petróleo y demás hidrocarburos, dominio que es inalienable e imprescriptible; y que la explotación, </w:t>
      </w:r>
      <w:r w:rsidRPr="0081110D">
        <w:rPr>
          <w:rFonts w:ascii="Century Gothic" w:hAnsi="Century Gothic" w:cs="Arial"/>
          <w:b/>
          <w:sz w:val="22"/>
          <w:szCs w:val="22"/>
          <w:u w:val="single"/>
        </w:rPr>
        <w:t xml:space="preserve">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w:t>
      </w:r>
    </w:p>
    <w:p w:rsidR="002C2030" w:rsidRPr="0081110D" w:rsidRDefault="002C2030" w:rsidP="002C2030">
      <w:pPr>
        <w:ind w:right="67"/>
        <w:jc w:val="both"/>
        <w:rPr>
          <w:rFonts w:ascii="Century Gothic" w:hAnsi="Century Gothic" w:cs="Arial"/>
          <w:b/>
          <w:sz w:val="22"/>
          <w:szCs w:val="22"/>
          <w:u w:val="single"/>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 xml:space="preserve">3.- </w:t>
      </w:r>
      <w:r w:rsidRPr="0081110D">
        <w:rPr>
          <w:rFonts w:ascii="Century Gothic" w:hAnsi="Century Gothic" w:cs="Arial"/>
          <w:sz w:val="22"/>
          <w:szCs w:val="22"/>
        </w:rPr>
        <w:t xml:space="preserve">Destaca entonces que, el aprovechamiento de los recursos de que se trata (como son los hidrocarburos y sus derivados) por particulares o sociedades legalmente constituidas, conforme a esas disposiciones constitucionales, no puede realizarse sino mediante concesiones otorgadas por el Ejecutivo Federal, con la condición que sea de acuerdo con las reglas y condiciones que establezcan </w:t>
      </w:r>
      <w:r w:rsidRPr="0081110D">
        <w:rPr>
          <w:rFonts w:ascii="Century Gothic" w:hAnsi="Century Gothic" w:cs="Arial"/>
          <w:b/>
          <w:sz w:val="22"/>
          <w:szCs w:val="22"/>
        </w:rPr>
        <w:t>“las leyes”</w:t>
      </w:r>
      <w:r w:rsidRPr="0081110D">
        <w:rPr>
          <w:rFonts w:ascii="Century Gothic" w:hAnsi="Century Gothic" w:cs="Arial"/>
          <w:sz w:val="22"/>
          <w:szCs w:val="22"/>
        </w:rPr>
        <w:t xml:space="preserve"> respectivas.</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Ahora bien, en el sistema jurídico mexicano, el ejercicio de las facultades concurrentes que prevé la Constitución Política de los Estados Unidos Mexicanos, tiene la implicación de que tanto los estados integrantes del pacto federal, como los Municipios y la Federación misma, puedan actuar respecto de una misma materia.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Por ejemplo, conforme a la Constitución Federal, existen facultades concurrentes, en las materias siguientes: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Educativa</w:t>
      </w:r>
      <w:r w:rsidRPr="0081110D">
        <w:rPr>
          <w:rFonts w:ascii="Century Gothic" w:hAnsi="Century Gothic" w:cs="Arial"/>
          <w:sz w:val="22"/>
          <w:szCs w:val="22"/>
        </w:rPr>
        <w:t xml:space="preserve"> (artículos 3o., fracción VIII y 73, fracción XXV)</w:t>
      </w:r>
      <w:r w:rsidRPr="0081110D">
        <w:rPr>
          <w:rFonts w:ascii="Century Gothic" w:hAnsi="Century Gothic" w:cs="Arial"/>
          <w:b/>
          <w:sz w:val="22"/>
          <w:szCs w:val="22"/>
        </w:rPr>
        <w:t xml:space="preserve"> </w:t>
      </w: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 xml:space="preserve">Salubridad </w:t>
      </w:r>
      <w:r w:rsidRPr="0081110D">
        <w:rPr>
          <w:rFonts w:ascii="Century Gothic" w:hAnsi="Century Gothic" w:cs="Arial"/>
          <w:sz w:val="22"/>
          <w:szCs w:val="22"/>
        </w:rPr>
        <w:t xml:space="preserve">(artículos 4o., párrafo tercero y 73, fracción XVI) </w:t>
      </w: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 xml:space="preserve">Asentamientos humanos </w:t>
      </w:r>
      <w:r w:rsidRPr="0081110D">
        <w:rPr>
          <w:rFonts w:ascii="Century Gothic" w:hAnsi="Century Gothic" w:cs="Arial"/>
          <w:sz w:val="22"/>
          <w:szCs w:val="22"/>
        </w:rPr>
        <w:t>(artículos 27, párrafo tercero y 73, fracción XXIX-C)</w:t>
      </w:r>
      <w:r w:rsidRPr="0081110D">
        <w:rPr>
          <w:rFonts w:ascii="Century Gothic" w:hAnsi="Century Gothic" w:cs="Arial"/>
          <w:b/>
          <w:sz w:val="22"/>
          <w:szCs w:val="22"/>
        </w:rPr>
        <w:t xml:space="preserve"> </w:t>
      </w: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Seguridad pública</w:t>
      </w:r>
      <w:r w:rsidRPr="0081110D">
        <w:rPr>
          <w:rFonts w:ascii="Century Gothic" w:hAnsi="Century Gothic" w:cs="Arial"/>
          <w:sz w:val="22"/>
          <w:szCs w:val="22"/>
        </w:rPr>
        <w:t xml:space="preserve"> (artículo 73, fracción XXIII); </w:t>
      </w: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Ambiental</w:t>
      </w:r>
      <w:r w:rsidRPr="0081110D">
        <w:rPr>
          <w:rFonts w:ascii="Century Gothic" w:hAnsi="Century Gothic" w:cs="Arial"/>
          <w:sz w:val="22"/>
          <w:szCs w:val="22"/>
        </w:rPr>
        <w:t xml:space="preserve"> (artículo 73, fracción XXIX-G); </w:t>
      </w: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Protección civil</w:t>
      </w:r>
      <w:r w:rsidRPr="0081110D">
        <w:rPr>
          <w:rFonts w:ascii="Century Gothic" w:hAnsi="Century Gothic" w:cs="Arial"/>
          <w:sz w:val="22"/>
          <w:szCs w:val="22"/>
        </w:rPr>
        <w:t xml:space="preserve"> (artículo 73, fracción XXIX-I) </w:t>
      </w:r>
    </w:p>
    <w:p w:rsidR="002C2030" w:rsidRPr="0081110D" w:rsidRDefault="002C2030" w:rsidP="002C2030">
      <w:pPr>
        <w:numPr>
          <w:ilvl w:val="0"/>
          <w:numId w:val="109"/>
        </w:numPr>
        <w:ind w:right="67"/>
        <w:contextualSpacing/>
        <w:jc w:val="both"/>
        <w:rPr>
          <w:rFonts w:ascii="Century Gothic" w:hAnsi="Century Gothic" w:cs="Arial"/>
          <w:sz w:val="22"/>
          <w:szCs w:val="22"/>
        </w:rPr>
      </w:pPr>
      <w:r w:rsidRPr="0081110D">
        <w:rPr>
          <w:rFonts w:ascii="Century Gothic" w:hAnsi="Century Gothic" w:cs="Arial"/>
          <w:b/>
          <w:sz w:val="22"/>
          <w:szCs w:val="22"/>
        </w:rPr>
        <w:t>Materia deportiva</w:t>
      </w:r>
      <w:r w:rsidRPr="0081110D">
        <w:rPr>
          <w:rFonts w:ascii="Century Gothic" w:hAnsi="Century Gothic" w:cs="Arial"/>
          <w:sz w:val="22"/>
          <w:szCs w:val="22"/>
        </w:rPr>
        <w:t xml:space="preserve"> (artículo 73, fracción XXIX-J).</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Sin embargo, cuando ya el Congreso de la Unión, en cumplimiento a una cláusula constitucional que lo obliga, ha emitido una Ley General Reglamentaria cuyo ámbito de aplicación espacial es para todo el País, en la que se ha determinado con puntual especificidad la participación de cada nivel de gobierno, la misma debe respetarse por todos. Y en esa medida, no es jurídicamente admisible, factible ni conveniente - porque genera falta de certidumbre -  la subsistencia de disposiciones reglamentarias municipales que contengan previsiones contrarias a una Ley General que rija situaciones especialmente determinadas: La ley Especial deroga la ley General, es otro principio jurídico universal, que avala la idea que se sostiene.</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El anterior argumento se apoya en la tesis de jurisprudencia del Pleno de la Suprema Corte de Justicia de la Nación, cuyos datos de identificación, rubro y texto son:</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Época: Novena Época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Registro: 1001011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Instancia: Pleno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Tipo de Tesis: Jurisprudencia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Fuente: Apéndice de 2011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Tomo I. Constitucional 1. Distribución de Funciones entre las Entidades Políticas del Estado Mexicano Primera Parte - SCJN Primera Sección - Esfera federal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Materia(s): Constitucional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Tesis: 39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Página: 51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FACULTADES CONCURRENTES EN EL SISTEMA JURÍDICO MEXICANO. SUS CARACTERÍSTICAS GENERALES.</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Si bien es cierto que el artículo 124 de la Constitución Política de los Estados Unidos Mexicanos establece que: "Las facultades que no están expresamente concedidas por esta Constitución a los funcionarios federales, se entienden reservadas a los Estados.", también lo es que el Órgano Reformador de la Constitución determinó, en diversos preceptos, la posibilidad de que el Congreso de la Unión fijara un reparto de competencias, denominado "facultades concurrentes", entre la Federación, las entidades federativas y los Municipios e, inclusive, el Distrito Federal, en ciertas materias, como son: la educativa (artículos 3o., fracción VIII y 73, fracción XXV), la de salubridad (artículos 4o., párrafo tercero y 73, fracción XVI), la de asentamientos humanos (artículos 27, párrafo tercero y 73, fracción XXIX-C), la de seguridad pública (artículo 73, fracción XXIII), la ambiental (artículo 73, fracción XXIX-G), la de protección civil (artículo 73, fracción XXIX-I) y la deportiva (artículo 73, fracción XXIX-J). Esto es, </w:t>
      </w:r>
      <w:r w:rsidRPr="0081110D">
        <w:rPr>
          <w:rFonts w:ascii="Century Gothic" w:hAnsi="Century Gothic" w:cs="Arial"/>
          <w:b/>
          <w:sz w:val="22"/>
          <w:szCs w:val="22"/>
        </w:rPr>
        <w:t>en el sistema jurídico mexicano las facultades concurrentes implican que las entidades federativas</w:t>
      </w:r>
      <w:r w:rsidRPr="0081110D">
        <w:rPr>
          <w:rFonts w:ascii="Century Gothic" w:hAnsi="Century Gothic" w:cs="Arial"/>
          <w:sz w:val="22"/>
          <w:szCs w:val="22"/>
        </w:rPr>
        <w:t xml:space="preserve">, incluso el Distrito Federal, </w:t>
      </w:r>
      <w:r w:rsidRPr="0081110D">
        <w:rPr>
          <w:rFonts w:ascii="Century Gothic" w:hAnsi="Century Gothic" w:cs="Arial"/>
          <w:b/>
          <w:sz w:val="22"/>
          <w:szCs w:val="22"/>
        </w:rPr>
        <w:t>los Municipios y la Federación</w:t>
      </w:r>
      <w:r w:rsidRPr="0081110D">
        <w:rPr>
          <w:rFonts w:ascii="Century Gothic" w:hAnsi="Century Gothic" w:cs="Arial"/>
          <w:sz w:val="22"/>
          <w:szCs w:val="22"/>
        </w:rPr>
        <w:t xml:space="preserve">, </w:t>
      </w:r>
      <w:r w:rsidRPr="0081110D">
        <w:rPr>
          <w:rFonts w:ascii="Century Gothic" w:hAnsi="Century Gothic" w:cs="Arial"/>
          <w:b/>
          <w:sz w:val="22"/>
          <w:szCs w:val="22"/>
        </w:rPr>
        <w:t>puedan actuar respecto de una misma materia</w:t>
      </w:r>
      <w:r w:rsidRPr="0081110D">
        <w:rPr>
          <w:rFonts w:ascii="Century Gothic" w:hAnsi="Century Gothic" w:cs="Arial"/>
          <w:sz w:val="22"/>
          <w:szCs w:val="22"/>
        </w:rPr>
        <w:t xml:space="preserve">, </w:t>
      </w:r>
      <w:r w:rsidRPr="0081110D">
        <w:rPr>
          <w:rFonts w:ascii="Century Gothic" w:hAnsi="Century Gothic" w:cs="Arial"/>
          <w:b/>
          <w:sz w:val="22"/>
          <w:szCs w:val="22"/>
          <w:u w:val="single"/>
        </w:rPr>
        <w:t>pero será el Congreso de la Unión el que determine la forma y los términos de la participación de dichos entes a través de una ley general</w:t>
      </w:r>
      <w:r w:rsidRPr="0081110D">
        <w:rPr>
          <w:rFonts w:ascii="Century Gothic" w:hAnsi="Century Gothic" w:cs="Arial"/>
          <w:sz w:val="22"/>
          <w:szCs w:val="22"/>
        </w:rPr>
        <w:t>.</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Controversia constitucional 29/2000.—</w:t>
      </w:r>
      <w:r w:rsidR="0086718D" w:rsidRPr="0081110D">
        <w:rPr>
          <w:rFonts w:ascii="Century Gothic" w:hAnsi="Century Gothic" w:cs="Arial"/>
          <w:sz w:val="22"/>
          <w:szCs w:val="22"/>
        </w:rPr>
        <w:t xml:space="preserve"> </w:t>
      </w:r>
      <w:r w:rsidRPr="0081110D">
        <w:rPr>
          <w:rFonts w:ascii="Century Gothic" w:hAnsi="Century Gothic" w:cs="Arial"/>
          <w:sz w:val="22"/>
          <w:szCs w:val="22"/>
        </w:rPr>
        <w:t>Poder Ejecutivo Federal.—15 de noviembre de 2001.—Once votos.—Ponente: Sergio Salvador Aguirre Anguiano.—Secretario: Pedro Alberto Nava Malagón.</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El Tribunal Pleno, en su sesión privada celebrada hoy seis de diciembre en curso, aprobó, con el número 142/2001, la tesis jurisprudencial que antecede.—</w:t>
      </w:r>
      <w:r w:rsidR="0086718D" w:rsidRPr="0081110D">
        <w:rPr>
          <w:rFonts w:ascii="Century Gothic" w:hAnsi="Century Gothic" w:cs="Arial"/>
          <w:sz w:val="22"/>
          <w:szCs w:val="22"/>
        </w:rPr>
        <w:t xml:space="preserve"> </w:t>
      </w:r>
      <w:r w:rsidRPr="0081110D">
        <w:rPr>
          <w:rFonts w:ascii="Century Gothic" w:hAnsi="Century Gothic" w:cs="Arial"/>
          <w:sz w:val="22"/>
          <w:szCs w:val="22"/>
        </w:rPr>
        <w:t>México, Distrito Federal, a seis de diciembre de dos mil uno.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Entonces, resalta de lo expuesto, que las facultades concurrentes, implican que las entidades federativas, los Municipios y la Federación, puedan interactuar concomitantemente respecto de una misma materia, pero cuando sucede que la propia Constitución determine a ese mismo nivel normativo mediante una cláusula respectiva, que será el propio Congreso de la Unión el que establezca la forma y los términos de la participación de cada uno de dichos entes, precisamente a través de una Ley General, esta es la que debe realizar esa labor reglamentaria, en exclusiva, y no las entidades federativas ni los Municipios.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 xml:space="preserve">4.- </w:t>
      </w:r>
      <w:r w:rsidRPr="0081110D">
        <w:rPr>
          <w:rFonts w:ascii="Century Gothic" w:hAnsi="Century Gothic" w:cs="Arial"/>
          <w:sz w:val="22"/>
          <w:szCs w:val="22"/>
        </w:rPr>
        <w:t>Una de las principales preocupaciones que dieron lugar a esa reforma energética, fue sin duda la protección y cuidado del medio ambiente, lo cual se dijo reforzaba el compromiso del estado mexicano para lograr la sustentabilidad ambiental, tal como lo demuestran los tratados internacionales en esa materia, como lo son el Convenio de Viena para la Protección de la Capa de Ozono, Protocolo de Montreal relativo a las sustancias agotadoras de la Capa de Ozono, Conferencia de las Naciones Unidas sobre Medio Ambiente y el Desarrollo, Declaración Ministerial de la Segunda Conferencia Mundial sobre el Clima, Convención Marco de las Naciones Unidas sobre el Cambio Climático, Declaración de Río sobre el Medio Ambiente y el Desarrollo, así como el Protocolo de Kyoto a la Convención Marco de las Naciones Unidas sobre el cambio Climático.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La reforma buscó un modelo de producción energético que redujera los efectos negativos que tienen en la salud y medio ambiente, la obtención y el consumo de energías fósiles, por lo que, se buscó lograr un proceso energético sustentable.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 xml:space="preserve">5.- </w:t>
      </w:r>
      <w:r w:rsidRPr="0081110D">
        <w:rPr>
          <w:rFonts w:ascii="Century Gothic" w:hAnsi="Century Gothic" w:cs="Arial"/>
          <w:sz w:val="22"/>
          <w:szCs w:val="22"/>
        </w:rPr>
        <w:t>El artículo Décimo Noveno Transitorio del Decreto Constitucional que originó la Reforma Energética, otorgó facultades al Congreso de la Unión para llevar a cabo las adecuaciones legislativas para crear la Agencia Nacional de Seguridad Industrial y de Protección al Medio Ambiente del Sector Hidrocarburos, cuyo objeto es la protección de las personas, el medio ambiente y las instalaciones del sector hidrocarburos, otorgándole competencia para la regulación y supervisión en la materia; y, específicamente, para otorgar las autorizaciones en materia de impacto y riesgo ambiental en el sector hidrocarburos, al determinar:</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Décimo Noveno. 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atribuciones.</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La Agencia tendrá dentro de sus atribuciones regular y supervisar, en materia de seguridad industrial, operativa y protección al medio ambiente, las instalaciones y actividades del sector hidrocarburos, incluyendo las actividades de desmantelamiento y abandono de instalaciones, así como el control integral de residuos. En la organización, funcionamiento y facultades de la Agencia, se deberá prever al menos:</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a) Que si al finalizar el ejercicio presupuestario, existiera saldo remanente de ingresos propios excedentes, la Agencia instruirá su transferencia a un fideicomiso constituido por la Secretaría del ramo en materia de Medio Ambiente, donde una institución de la banca de desarrollo operará como fiduciario.</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b) Que la Agencia instruirá al fiduciario la aplicación de los recursos de este fideicomiso a la cobertura de gastos necesarios para cumplir con sus funciones en posteriores ejercicios respetando los principios a los que hace referencia el artículo 134 de esta Constitución y estando sujeta a la evaluación y el control de los entes fiscalizadores del Estado.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Y a efecto de cumplir con lo anterior, el Congreso de la Unión, en decreto publicado el 11 de agosto de 2014, se expidió la Ley de la Agencia Nacional de Seguridad Industrial y Protección al Medio Ambiente del Sector Hidrocarburos, la cual, facultó a ese organismo para extender autorizaciones en materia de impacto y riesgo ambiental del sector hidrocarburos, incluyendo la regulación del impacto ambiental del expendio al público de diésel y gasolina.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6.-</w:t>
      </w:r>
      <w:r w:rsidRPr="0081110D">
        <w:rPr>
          <w:rFonts w:ascii="Century Gothic" w:hAnsi="Century Gothic" w:cs="Arial"/>
          <w:sz w:val="22"/>
          <w:szCs w:val="22"/>
        </w:rPr>
        <w:t xml:space="preserve"> También en cumplimiento a las normas constitucionales que dieron origen a lo que se conoció como </w:t>
      </w:r>
      <w:r w:rsidRPr="0081110D">
        <w:rPr>
          <w:rFonts w:ascii="Century Gothic" w:hAnsi="Century Gothic" w:cs="Arial"/>
          <w:b/>
          <w:sz w:val="22"/>
          <w:szCs w:val="22"/>
        </w:rPr>
        <w:t>“la reforma energética de 2013”</w:t>
      </w:r>
      <w:r w:rsidRPr="0081110D">
        <w:rPr>
          <w:rFonts w:ascii="Century Gothic" w:hAnsi="Century Gothic" w:cs="Arial"/>
          <w:sz w:val="22"/>
          <w:szCs w:val="22"/>
        </w:rPr>
        <w:t xml:space="preserve">, se originó que el Congreso de la Unión, expidiera la Ley de Hidrocarburos, la cual, fue publicada el 11 de agosto de 2014. Esa ley, en sus vigentes artículos 1° y 95, se dispone lo siguiente: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 xml:space="preserve">“Artículo 1. La presente Ley es reglamentaria de los artículos 25, párrafo cuarto; 27, párrafo séptimo y 28, párrafo cuarto de la Constitución Política de los Estados Unidos Mexicanos, en materia de Hidrocarburos.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 xml:space="preserve">Corresponde a la Nación la propiedad directa, inalienable e imprescriptible de todos los Hidrocarburos que se encuentren en el subsuelo del territorio nacional, incluyendo la plataforma continental y la zona económica exclusiva situada fuera del mar territorial y adyacente a éste, en mantos o yacimientos, cualquiera que sea su estado físico.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 xml:space="preserve">Para los efectos de esta Ley, se considerarán yacimientos transfronterizos aquéllos que se encuentren dentro de la jurisdicción nacional y tengan continuidad física fuera de ella.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 xml:space="preserve">También se considerarán como transfronterizos aquellos yacimientos o mantos fuera de la jurisdicción nacional, compartidos con otros países de acuerdo con los tratados en que México sea parte, o bajo lo dispuesto en la Convención de las Naciones Unidas sobre Derecho del Mar.” </w:t>
      </w:r>
    </w:p>
    <w:p w:rsidR="002C2030" w:rsidRPr="0081110D" w:rsidRDefault="002C2030" w:rsidP="002C2030">
      <w:pPr>
        <w:ind w:right="67"/>
        <w:jc w:val="both"/>
        <w:rPr>
          <w:rFonts w:ascii="Century Gothic" w:hAnsi="Century Gothic" w:cs="Arial"/>
          <w:b/>
          <w:sz w:val="22"/>
          <w:szCs w:val="22"/>
          <w:u w:val="single"/>
        </w:rPr>
      </w:pPr>
    </w:p>
    <w:p w:rsidR="002C2030" w:rsidRPr="0081110D" w:rsidRDefault="002C2030" w:rsidP="002C2030">
      <w:pPr>
        <w:ind w:right="67"/>
        <w:jc w:val="both"/>
        <w:rPr>
          <w:rFonts w:ascii="Century Gothic" w:hAnsi="Century Gothic" w:cs="Arial"/>
          <w:b/>
          <w:sz w:val="22"/>
          <w:szCs w:val="22"/>
          <w:u w:val="single"/>
        </w:rPr>
      </w:pPr>
      <w:r w:rsidRPr="0081110D">
        <w:rPr>
          <w:rFonts w:ascii="Century Gothic" w:hAnsi="Century Gothic" w:cs="Arial"/>
          <w:b/>
          <w:sz w:val="22"/>
          <w:szCs w:val="22"/>
          <w:u w:val="single"/>
        </w:rPr>
        <w:t xml:space="preserve">“Artículo 95. La industria de Hidrocarburos es de exclusiva jurisdicción federal. En consecuencia, únicamente el Gobierno Federal puede dictar las disposiciones técnicas, reglamentarias y de regulación en la materia, incluyendo aquéllas relacionadas con el desarrollo sustentable, el equilibrio ecológico y la protección al medio ambiente en el desarrollo de esta industria. </w:t>
      </w:r>
    </w:p>
    <w:p w:rsidR="002C2030" w:rsidRPr="0081110D" w:rsidRDefault="002C2030" w:rsidP="002C2030">
      <w:pPr>
        <w:ind w:right="67"/>
        <w:jc w:val="both"/>
        <w:rPr>
          <w:rFonts w:ascii="Century Gothic" w:hAnsi="Century Gothic" w:cs="Arial"/>
          <w:b/>
          <w:sz w:val="22"/>
          <w:szCs w:val="22"/>
          <w:u w:val="single"/>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u w:val="single"/>
        </w:rPr>
        <w:t xml:space="preserve">Con el fin de promover el desarrollo sustentable de las actividades que se realizan en los términos de esta Ley, en todo momento deberán seguirse criterios que fomenten la protección, la restauración y la conservación de los ecosistemas, además de cumplir estrictamente con las leyes, reglamentos y demás normativa aplicable en materia de medio ambiente, recursos naturales, aguas, bosques, flora y fauna silvestre, terrestre y acuática, así como de pesca.”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Los preceptos transcritos, disponen que: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numPr>
          <w:ilvl w:val="0"/>
          <w:numId w:val="110"/>
        </w:numPr>
        <w:ind w:right="67"/>
        <w:jc w:val="both"/>
        <w:rPr>
          <w:rFonts w:ascii="Century Gothic" w:hAnsi="Century Gothic" w:cs="Arial"/>
          <w:sz w:val="22"/>
          <w:szCs w:val="22"/>
        </w:rPr>
      </w:pPr>
      <w:r w:rsidRPr="0081110D">
        <w:rPr>
          <w:rFonts w:ascii="Century Gothic" w:hAnsi="Century Gothic" w:cs="Arial"/>
          <w:sz w:val="22"/>
          <w:szCs w:val="22"/>
        </w:rPr>
        <w:t xml:space="preserve">La Ley de Hidrocarburos, es reglamentaria de los artículos 25, párrafo cuarto, 27, párrafo séptimo y 28, párrafo cuarto, de la Constitución Política de los Estados Unidos Mexicanos.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numPr>
          <w:ilvl w:val="0"/>
          <w:numId w:val="110"/>
        </w:numPr>
        <w:ind w:right="67"/>
        <w:jc w:val="both"/>
        <w:rPr>
          <w:rFonts w:ascii="Century Gothic" w:hAnsi="Century Gothic" w:cs="Arial"/>
          <w:sz w:val="22"/>
          <w:szCs w:val="22"/>
        </w:rPr>
      </w:pPr>
      <w:r w:rsidRPr="0081110D">
        <w:rPr>
          <w:rFonts w:ascii="Century Gothic" w:hAnsi="Century Gothic" w:cs="Arial"/>
          <w:sz w:val="22"/>
          <w:szCs w:val="22"/>
        </w:rPr>
        <w:lastRenderedPageBreak/>
        <w:t xml:space="preserve">La Ley de Hidrocarburos, es una Ley General expedida por el Congreso de la Unión, de aplicación en todo el País.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numPr>
          <w:ilvl w:val="0"/>
          <w:numId w:val="110"/>
        </w:numPr>
        <w:ind w:right="67"/>
        <w:jc w:val="both"/>
        <w:rPr>
          <w:rFonts w:ascii="Century Gothic" w:hAnsi="Century Gothic" w:cs="Arial"/>
          <w:sz w:val="22"/>
          <w:szCs w:val="22"/>
        </w:rPr>
      </w:pPr>
      <w:r w:rsidRPr="0081110D">
        <w:rPr>
          <w:rFonts w:ascii="Century Gothic" w:hAnsi="Century Gothic" w:cs="Arial"/>
          <w:sz w:val="22"/>
          <w:szCs w:val="22"/>
        </w:rPr>
        <w:t xml:space="preserve">Esa Ley General, dictada en cumplimiento a las previsiones constitucionales anteriormente referidas, reservó para la federación, sin margen de duda o interpretación contraria, la posibilidad de regular y/o reglamentar, la Industria de Hidrocarburos, al indicarse que es de exclusiva </w:t>
      </w:r>
      <w:r w:rsidRPr="0081110D">
        <w:rPr>
          <w:rFonts w:ascii="Century Gothic" w:hAnsi="Century Gothic" w:cs="Arial"/>
          <w:b/>
          <w:sz w:val="22"/>
          <w:szCs w:val="22"/>
        </w:rPr>
        <w:t>“jurisdicción federal”</w:t>
      </w:r>
      <w:r w:rsidRPr="0081110D">
        <w:rPr>
          <w:rFonts w:ascii="Century Gothic" w:hAnsi="Century Gothic" w:cs="Arial"/>
          <w:sz w:val="22"/>
          <w:szCs w:val="22"/>
        </w:rPr>
        <w:t>.</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Corolario de lo expuesto, resulta obvio que, conforme a esas disposiciones integradoras de la Reforma Energética, ahora, a partir de su vigencia, únicamente el Gobierno Federal puede dictar las disposiciones técnicas, reglamentarias y de regulación en materia de hidrocarburos, incluyendo todo lo relacionado con el desarrollo sustentable, el equilibrio ecológico y la protección al medio ambiente en el desarrollo de esta industria, para evitar riesgos, pues el  Congreso de la Unión ya determinó, mediante una Ley General, o sea la Ley de Hidrocarburos, que es competencia exclusiva de la federación, la facultad para regular la materia en cuestión, al expedir precisamente la ley reglamentaria de los artículos 25, párrafo cuarto, 27, párrafo séptimo y 28, párrafo cuarto, de la Constitución Política de los Estados Unidos Mexicanos.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sz w:val="22"/>
          <w:szCs w:val="22"/>
        </w:rPr>
        <w:t xml:space="preserve">Lo anterior se refuerza con la circunstancia de que, el diverso artículo 4, fracción XIII, de esa norma reglamentaria, define expresamente el concepto de </w:t>
      </w:r>
      <w:r w:rsidRPr="0081110D">
        <w:rPr>
          <w:rFonts w:ascii="Century Gothic" w:hAnsi="Century Gothic" w:cs="Arial"/>
          <w:b/>
          <w:sz w:val="22"/>
          <w:szCs w:val="22"/>
        </w:rPr>
        <w:t>“expendio al público”</w:t>
      </w:r>
      <w:r w:rsidRPr="0081110D">
        <w:rPr>
          <w:rFonts w:ascii="Century Gothic" w:hAnsi="Century Gothic" w:cs="Arial"/>
          <w:sz w:val="22"/>
          <w:szCs w:val="22"/>
        </w:rPr>
        <w:t xml:space="preserve">, al determinar que deberá comprenderse en ese término, a la venta al menudeo directa al consumidor de Gas Natural o Petrolíferos, entre otros combustibles, en instalaciones con fin específico o multimodal, incluyendo estaciones de servicio, de compresión y de carburación, entre otras, lo que a su vez, cobra también corroboración con lo que ese precepto dispone en su fracción XXVII,  al indicar que los petrolíferos son </w:t>
      </w:r>
      <w:r w:rsidRPr="0081110D">
        <w:rPr>
          <w:rFonts w:ascii="Century Gothic" w:hAnsi="Century Gothic" w:cs="Arial"/>
          <w:b/>
          <w:sz w:val="22"/>
          <w:szCs w:val="22"/>
        </w:rPr>
        <w:t xml:space="preserve">“Productos que se obtienen de la refinación del Petróleo o del procesamiento del Gas Natural y que derivan directamente de Hidrocarburos, tales como gasolinas, diésel, querosenos, combustóleo y Gas Licuado de Petróleo, entre otros, distintos de los Petroquímicos”.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Luego, el expendio al público de gasolinas y diésel, incluyendo el que se ejecuta en estaciones de servicio, debe regularse entonces, en exclusiva, mediante las normas y reglamentos que emitan las autoridades federales competentes en materia de hidrocarburos, cuando su objeto sea precisamente proteger </w:t>
      </w:r>
      <w:r w:rsidRPr="0081110D">
        <w:rPr>
          <w:rFonts w:ascii="Century Gothic" w:hAnsi="Century Gothic" w:cs="Arial"/>
          <w:b/>
          <w:sz w:val="22"/>
          <w:szCs w:val="22"/>
          <w:u w:val="single"/>
        </w:rPr>
        <w:t>el desarrollo sustentable, el equilibrio ecológico y la protección al medio ambiente en el desarrollo de esta industria, para evitar riesgos</w:t>
      </w:r>
      <w:r w:rsidRPr="0081110D">
        <w:rPr>
          <w:rFonts w:ascii="Century Gothic" w:hAnsi="Century Gothic" w:cs="Arial"/>
          <w:sz w:val="22"/>
          <w:szCs w:val="22"/>
        </w:rPr>
        <w:t xml:space="preserv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En este caso, las razones bajo las cuales se emitió el Reglamento para la Ubicación y Operación de las Estaciones de Servicio para el Municipio de Juárez, Estado de Chihuahua, se trata precisamente de cuestiones que tienen que ver con el desarrollo sustentable, el equilibrio ecológico y la protección al medio ambiente para evitar riesgos.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Así es, el artículo 1 del referido reglamento, dispone que el mismo tiene por objeto regular la ubicación, construcción y operación de las estaciones de servicio distribuidoras de gasolina.</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Su artículo 2 dispone que el reglamento, es de orden público e interés social. El diverso artículo 3 prevé las diversas definiciones; los artículos 4, 5, 6, 7, y 7BIS, se refieren a las autoridades y sus atribuciones.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Los diversos artículos del 8 al 22, establecen normas relacionadas a la seguridad que debe garantizar la operación de las estaciones de servicio. Y del 23 al 31, se establecen disposiciones relativas al medio ambiente.</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Por su parte, los artículos del 32 al 40, contienen disposiciones relacionadas con la ubicación y distancias de las estaciones de servicio. Y del 41 al 46, son disposiciones referidas a la construcción y operación de dichas estaciones, mientras que en los artículos del 47 al 54, se prevé la inspección y vigilancia para verificar el cumplimiento del Reglamento.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Los artículos que van del 55 al 56, prevén medidas de seguridad para el caso de que exista riesgo ambiental o inminente desequilibrio ecológico, casos de contaminación con repercusiones peligrosas para la salud, para los ecosistemas, o sus componentes; y del artículo 57 al 62 se establece el régimen de sanciones.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lastRenderedPageBreak/>
        <w:t>El diverso artículo 63 prevé el régimen de defensa jurídica para los particulares afectados con las resoluciones dictadas con motivo del reglamento, y del artículo 64 al 67, se prevé la figura de la denuncia popular.</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En el Título Sexto del Reglamento, que comprende del artículo 68 al 71, regula cuestiones de naturaleza ambiental para establecer la ubicación de estaciones de servicio, tales como la sectorización, índices de riesgo, índices de contaminación e infracciones.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Sin embargo, como ya se indicó, ahora, según la Reforma Energética, esa materia, en exclusiva puede ser regulada por la federación, y derivado de eso, ahora ya no es conveniente ni jurídico mantener vigentes sus disposiciones en los términos que se establecieron, y por esos motivos procedo abrogar dicho Reglamento Para la Ubicación y Operación de las Estaciones de Servicio para el Municipio de Juárez, Estado de Chihuahua, pues en todo caso lo que sí es competencia de éste, como sería la zonificación y uso de suelo y las licencias de construcción, ya está regulado suficientemente en otras disposiciones como son las leyes de desarrollo urbano;  el Plan Director Municipal de Desarrollo Urbano del Centro de Población; y la Ley de Protección Civil, entre otros instrumentos jurídicos.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Por esos motivos, procede abrogar, como se ha indicado, el referido reglamento en el cual se establecen normas relacionadas a la ubicación y operación de las estaciones de servicio, con base a parámetros que resulten de índices de contaminación, afectación del medio ambiente, y riesgos ecológicos, así como su inspección, vigilancia y sanciones por incumplimiento a los mismos, pues ahora, eso es competencia de la federación, como ya se indicó. Y por lo que se refiere a las licencias de construcción, uso de suelo y protección civil para las Estaciones de Servicio, debido a que son cuestiones suficientemente reguladas, es ocioso repetir esas normas a nivel reglamentario, como ya se indicó.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En ese tenor, quedan fuera de reglamentación, el lugar de ubicación de las estaciones de servicio distribuidoras de gasolina en el Municipio de Juárez, Estado de Chihuahua, en razón de distancias que deban respetarse entre una estación de servicio y otra con base a parámetros ecológicos o de riesgo ambiental, pues la regulación es competencia federal. Pero además, esas distancias, ya son obsoletas, debido a que, en su momento se calcularon en proporción directa a las emisiones originadas por las operaciones de carga y descarga de gasolina y diésel, pero sin tomarse inclusive en cuenta los posteriores avances tecnológicos originados a la creación de esas normas reglamentarias, como son los aditamentos de recuperación de vapores que se ordenó instalar a partir de la aprobación de la Norma Oficial Mexicana </w:t>
      </w:r>
      <w:r w:rsidRPr="0081110D">
        <w:rPr>
          <w:rFonts w:ascii="Century Gothic" w:hAnsi="Century Gothic" w:cs="Arial"/>
          <w:b/>
          <w:sz w:val="22"/>
          <w:szCs w:val="22"/>
        </w:rPr>
        <w:t>NOM-004-ASEA-2017</w:t>
      </w:r>
      <w:r w:rsidRPr="0081110D">
        <w:rPr>
          <w:rFonts w:ascii="Century Gothic" w:hAnsi="Century Gothic" w:cs="Arial"/>
          <w:sz w:val="22"/>
          <w:szCs w:val="22"/>
        </w:rPr>
        <w:t xml:space="preserve">, que prevé los Sistemas de Recuperación de Vapores de Gasolinas Para el Control de Emisiones en Estaciones de Servicio para Expendio al Público de Gasolinas, cuyo objetivo fue establecer la obligación de instalar Sistemas de Recuperación de Vapores de Gasolinas para evitar la emisión de Compuestos Orgánicos Volátiles a la atmósfera, así como establecer los métodos de prueba para determinar la eficiencia de la evaluación del prototipo, la instalación, la prueba inicial, los parámetros para la operación del SRV, el mantenimiento, las pruebas periódicas y los procedimientos de evaluación de desempeño de dicho sistema, a los Regulados, con que ahora deben contar las Estaciones de Servicio para expendio al Público de Gasolinas.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En esas condiciones, aunque tal como se adelantó precedentemente, es certero que, de conformidad con la Constitución Política de los Estados Unidos Mexicanos, según el artículo 73, fracción XXIX-G, el Congreso de la Unión tiene la facultad para expedir leyes que establezcan la concurrencia del Gobierno Federal, de los gobiernos de los Estados y de los municipios, en el ámbito de sus respectivas competencias, en materia de protección al ambiente y de preservación y restauración del equilibrio ecológico, sin embargo, cuando el ejercicio de esa facultad reglamentaria se ejerza, como sucedió en este caso,  a través de la emisión de una ley general emitida en respeto a una cláusula de la propia Constitución Federal, entonces debe respetarse y prevalecer esa legislación, debiéndose dejar sin efecto toda la Reglamentación Municipal que se oponga.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Luego, si en el caso el Congreso de la Unión, con fundamento en los artículos 25, 27 y 28 de la Constitución Política de los Estados Unidos Mexicanos, ya emitió la Ley de Hidrocarburos, que es una legislación general, aplicable para todo el país, la cual reservó a la federación todo lo relacionado a la reglamentación de esa materia, respecto al expendio de gasolinas y diésel, entonces obvio es que la misma debe atenderse por los municipios de todo el país.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Inclusive, los artículos 5, fracciones X y XIV, 7, 40 fracciones X y XVI y 28, fracción II, de la Ley General del Equilibrio Ecológico y la Protección al Ambiente, establecen lo siguiente:</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 “ARTÍCULO 5o.- Son facultades de la Federación: - - -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…X. La evaluación del impacto ambiental de las obras o actividades a que se refiere el artículo 28 de esta Ley y, en su caso, la expedición de las autorizaciones correspondientes; - - - </w:t>
      </w:r>
    </w:p>
    <w:p w:rsidR="002C2030" w:rsidRPr="0081110D" w:rsidRDefault="002C2030" w:rsidP="002C2030">
      <w:pPr>
        <w:ind w:right="67"/>
        <w:jc w:val="both"/>
        <w:rPr>
          <w:rFonts w:ascii="Century Gothic" w:hAnsi="Century Gothic" w:cs="Arial"/>
          <w:b/>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b/>
          <w:i/>
          <w:sz w:val="22"/>
          <w:szCs w:val="22"/>
        </w:rPr>
        <w:t xml:space="preserve">…XIV. La regulación de las actividades relacionadas con la exploración, explotación y beneficio de los minerales, substancias y demás recursos del subsuelo que corresponden a la nación, en lo relativo a los efectos que dichas actividades puedan generar sobre el equilibrio ecológico y el ambiente…” </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i/>
          <w:sz w:val="22"/>
          <w:szCs w:val="22"/>
        </w:rPr>
      </w:pPr>
      <w:r w:rsidRPr="0081110D">
        <w:rPr>
          <w:rFonts w:ascii="Century Gothic" w:hAnsi="Century Gothic" w:cs="Arial"/>
          <w:i/>
          <w:sz w:val="22"/>
          <w:szCs w:val="22"/>
        </w:rPr>
        <w:t xml:space="preserve">“ARTÍCULO 7o.- Corresponden a los Estados, de conformidad con lo dispuesto en esta Ley y las leyes locales en la materia, las siguientes facultades: </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i/>
          <w:sz w:val="22"/>
          <w:szCs w:val="22"/>
        </w:rPr>
      </w:pPr>
      <w:r w:rsidRPr="0081110D">
        <w:rPr>
          <w:rFonts w:ascii="Century Gothic" w:hAnsi="Century Gothic" w:cs="Arial"/>
          <w:i/>
          <w:sz w:val="22"/>
          <w:szCs w:val="22"/>
        </w:rPr>
        <w:lastRenderedPageBreak/>
        <w:t xml:space="preserve">…X. La prevención y el control de la contaminación generada por el aprovechamiento de las sustancias </w:t>
      </w:r>
      <w:r w:rsidRPr="0081110D">
        <w:rPr>
          <w:rFonts w:ascii="Century Gothic" w:hAnsi="Century Gothic" w:cs="Arial"/>
          <w:b/>
          <w:i/>
          <w:sz w:val="22"/>
          <w:szCs w:val="22"/>
        </w:rPr>
        <w:t>no reservadas a la Federación</w:t>
      </w:r>
      <w:r w:rsidRPr="0081110D">
        <w:rPr>
          <w:rFonts w:ascii="Century Gothic" w:hAnsi="Century Gothic" w:cs="Arial"/>
          <w:i/>
          <w:sz w:val="22"/>
          <w:szCs w:val="22"/>
        </w:rPr>
        <w:t xml:space="preserve">, que constituyan depósitos de naturaleza similar a los componentes de los terrenos, tales como rocas o productos de su descomposición que sólo puedan utilizarse para la fabricación de materiales para la construcción u ornamento de obras; </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i/>
          <w:sz w:val="22"/>
          <w:szCs w:val="22"/>
        </w:rPr>
      </w:pPr>
      <w:r w:rsidRPr="0081110D">
        <w:rPr>
          <w:rFonts w:ascii="Century Gothic" w:hAnsi="Century Gothic" w:cs="Arial"/>
          <w:i/>
          <w:sz w:val="22"/>
          <w:szCs w:val="22"/>
        </w:rPr>
        <w:t xml:space="preserve"> …XVI. La evaluación del impacto ambiental de las obras o actividades </w:t>
      </w:r>
      <w:r w:rsidRPr="0081110D">
        <w:rPr>
          <w:rFonts w:ascii="Century Gothic" w:hAnsi="Century Gothic" w:cs="Arial"/>
          <w:b/>
          <w:i/>
          <w:sz w:val="22"/>
          <w:szCs w:val="22"/>
        </w:rPr>
        <w:t>que no se encuentren expresamente reservadas a la Federación, por la presente Ley</w:t>
      </w:r>
      <w:r w:rsidRPr="0081110D">
        <w:rPr>
          <w:rFonts w:ascii="Century Gothic" w:hAnsi="Century Gothic" w:cs="Arial"/>
          <w:i/>
          <w:sz w:val="22"/>
          <w:szCs w:val="22"/>
        </w:rPr>
        <w:t xml:space="preserve"> y, en su caso, la expedición de las autorizaciones correspondientes, de conformidad con lo dispuesto por el artículo 35 BIS 2 de la presente Ley…”. </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i/>
          <w:sz w:val="22"/>
          <w:szCs w:val="22"/>
        </w:rPr>
      </w:pPr>
      <w:r w:rsidRPr="0081110D">
        <w:rPr>
          <w:rFonts w:ascii="Century Gothic" w:hAnsi="Century Gothic" w:cs="Arial"/>
          <w:i/>
          <w:sz w:val="22"/>
          <w:szCs w:val="22"/>
        </w:rPr>
        <w:t xml:space="preserve">“ARTICULO 28.- La evaluación del impacto ambiental es el procedimiento a través del cual la Secretaría establece las condiciones a que se sujetará la realización de obras y actividades que puedan causar desequilibrio ecológico o rebasar los límites y condiciones establecidos en las disposiciones aplicables para proteger el ambiente y preservar y restaurar los ecosistemas, a fin de evitar o reducir al mínimo sus efectos negativos sobre el medio ambiente. Para ello, en los casos en que determine el Reglamento que al efecto se expida, quienes pretendan llevar a cabo alguna de las siguientes obras o actividades, </w:t>
      </w:r>
      <w:r w:rsidRPr="0081110D">
        <w:rPr>
          <w:rFonts w:ascii="Century Gothic" w:hAnsi="Century Gothic" w:cs="Arial"/>
          <w:b/>
          <w:i/>
          <w:sz w:val="22"/>
          <w:szCs w:val="22"/>
        </w:rPr>
        <w:t>requerirán previamente la autorización en materia de impacto ambiental de la Secretaría</w:t>
      </w:r>
      <w:r w:rsidRPr="0081110D">
        <w:rPr>
          <w:rFonts w:ascii="Century Gothic" w:hAnsi="Century Gothic" w:cs="Arial"/>
          <w:i/>
          <w:sz w:val="22"/>
          <w:szCs w:val="22"/>
        </w:rPr>
        <w:t>:</w:t>
      </w:r>
    </w:p>
    <w:p w:rsidR="002C2030" w:rsidRPr="0081110D" w:rsidRDefault="002C2030" w:rsidP="002C2030">
      <w:pPr>
        <w:ind w:right="67"/>
        <w:jc w:val="both"/>
        <w:rPr>
          <w:rFonts w:ascii="Century Gothic" w:hAnsi="Century Gothic" w:cs="Arial"/>
          <w:i/>
          <w:sz w:val="22"/>
          <w:szCs w:val="22"/>
        </w:rPr>
      </w:pPr>
    </w:p>
    <w:p w:rsidR="002C2030" w:rsidRPr="0081110D" w:rsidRDefault="002C2030" w:rsidP="002C2030">
      <w:pPr>
        <w:ind w:right="67"/>
        <w:jc w:val="both"/>
        <w:rPr>
          <w:rFonts w:ascii="Century Gothic" w:hAnsi="Century Gothic" w:cs="Arial"/>
          <w:b/>
          <w:i/>
          <w:sz w:val="22"/>
          <w:szCs w:val="22"/>
        </w:rPr>
      </w:pPr>
      <w:r w:rsidRPr="0081110D">
        <w:rPr>
          <w:rFonts w:ascii="Century Gothic" w:hAnsi="Century Gothic" w:cs="Arial"/>
          <w:i/>
          <w:sz w:val="22"/>
          <w:szCs w:val="22"/>
        </w:rPr>
        <w:t>…</w:t>
      </w:r>
      <w:r w:rsidRPr="0081110D">
        <w:rPr>
          <w:rFonts w:ascii="Century Gothic" w:hAnsi="Century Gothic" w:cs="Arial"/>
          <w:b/>
          <w:i/>
          <w:sz w:val="22"/>
          <w:szCs w:val="22"/>
        </w:rPr>
        <w:t>II. Industria del petróleo, petroquímica, química, siderúrgica, papelera, azucarera, del cemento y eléctrica…”</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Esas disposiciones, refuerzan la conclusión en cuanto a que la regulación de todo lo relacionado a las estaciones de gasolina, cuando están vinculadas al respeto a cuestiones de riesgo ambiental y equilibrio ecológico, son de competencia federal.</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Adicionalmente a lo anterior, para reforzar la idea de que la reforma energética suscitada a partir  de la reforma Constitucional de 2013, ha ido llevando al plano de la competencia federal todo lo relacionado a los hidrocarburos, desde la exploración y extracción de los mismos hasta el expendio al público de los derivados del petróleo como son el diésel y gasolinas, en estaciones de servicio, cabe indicar que a la fecha existen dos órganos cuya competencia constitucional está bien determinada, como es la Agencia de Seguridad, Energía y Ambiente por sus siglas conocida comúnmente como  </w:t>
      </w:r>
      <w:r w:rsidRPr="0081110D">
        <w:rPr>
          <w:rFonts w:ascii="Century Gothic" w:hAnsi="Century Gothic" w:cs="Arial"/>
          <w:b/>
          <w:sz w:val="22"/>
          <w:szCs w:val="22"/>
        </w:rPr>
        <w:t>“ASEA”</w:t>
      </w:r>
      <w:r w:rsidRPr="0081110D">
        <w:rPr>
          <w:rFonts w:ascii="Century Gothic" w:hAnsi="Century Gothic" w:cs="Arial"/>
          <w:sz w:val="22"/>
          <w:szCs w:val="22"/>
        </w:rPr>
        <w:t xml:space="preserve">, a la cual le corresponde la expedición de normas en materia de seguridad de personas, medio ambiente e instalaciones; y la Comisión Reguladora de Energía, por sus siglas conocida como </w:t>
      </w:r>
      <w:r w:rsidRPr="0081110D">
        <w:rPr>
          <w:rFonts w:ascii="Century Gothic" w:hAnsi="Century Gothic" w:cs="Arial"/>
          <w:b/>
          <w:sz w:val="22"/>
          <w:szCs w:val="22"/>
        </w:rPr>
        <w:t>“CRE”</w:t>
      </w:r>
      <w:r w:rsidRPr="0081110D">
        <w:rPr>
          <w:rFonts w:ascii="Century Gothic" w:hAnsi="Century Gothic" w:cs="Arial"/>
          <w:sz w:val="22"/>
          <w:szCs w:val="22"/>
        </w:rPr>
        <w:t>, la cual tiene autoridad para regular lo concerniente permisos, conforme a las disposiciones legales correspondientes.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De esa manera, la </w:t>
      </w:r>
      <w:r w:rsidRPr="0081110D">
        <w:rPr>
          <w:rFonts w:ascii="Century Gothic" w:hAnsi="Century Gothic" w:cs="Arial"/>
          <w:b/>
          <w:sz w:val="22"/>
          <w:szCs w:val="22"/>
        </w:rPr>
        <w:t xml:space="preserve">“ASEA”, </w:t>
      </w:r>
      <w:r w:rsidRPr="0081110D">
        <w:rPr>
          <w:rFonts w:ascii="Century Gothic" w:hAnsi="Century Gothic" w:cs="Arial"/>
          <w:sz w:val="22"/>
          <w:szCs w:val="22"/>
        </w:rPr>
        <w:t xml:space="preserve">es la única facultada para regular la manera de cómo y dónde deben construirse las estaciones de servicio para expendio de gasolinas y diésel, entre otros derivados del petróleo; y, la </w:t>
      </w:r>
      <w:r w:rsidRPr="0081110D">
        <w:rPr>
          <w:rFonts w:ascii="Century Gothic" w:hAnsi="Century Gothic" w:cs="Arial"/>
          <w:b/>
          <w:sz w:val="22"/>
          <w:szCs w:val="22"/>
        </w:rPr>
        <w:t xml:space="preserve">“CRE” </w:t>
      </w:r>
      <w:r w:rsidRPr="0081110D">
        <w:rPr>
          <w:rFonts w:ascii="Century Gothic" w:hAnsi="Century Gothic" w:cs="Arial"/>
          <w:sz w:val="22"/>
          <w:szCs w:val="22"/>
        </w:rPr>
        <w:t>regula a quién se le pueden otorgar los permisos o autorizaciones para operarse.</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En esa tarea, la Agencia de Seguridad, Energía y Ambiente, emitió ya la Norma Oficial Mexicana </w:t>
      </w:r>
      <w:r w:rsidRPr="0081110D">
        <w:rPr>
          <w:rFonts w:ascii="Century Gothic" w:hAnsi="Century Gothic" w:cs="Arial"/>
          <w:b/>
          <w:sz w:val="22"/>
          <w:szCs w:val="22"/>
        </w:rPr>
        <w:t>NOM-005-ASEA-2016</w:t>
      </w:r>
      <w:r w:rsidRPr="0081110D">
        <w:rPr>
          <w:rFonts w:ascii="Century Gothic" w:hAnsi="Century Gothic" w:cs="Arial"/>
          <w:sz w:val="22"/>
          <w:szCs w:val="22"/>
        </w:rPr>
        <w:t>, para el Diseño, Construcción, Operación y Mantenimiento de Estaciones de Servicio para Almacenamiento y Expendio de Diésel y Gasolinas, la cual, regula todo lo necesario para preservar la integridad de las personas, del medio ambiente, y de las cosas, como son las instalaciones, para procurar reducir, obviamente, el impacto ambiental y los riesgos.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Y por su parte, la Comisión Reguladora de Energía, al expedir cada permiso o autorización para operar una estación de servicio expendedora de Diésel y/o Gasolina, realiza la actividad concerniente a vigilar y asegurarse que cada permiso solicitado, exclusivamente se otorgue en el caso de que cada estación de servicio cumpla con el estándar legal de requisitos seguridad, que evite un alto impacto ambiental y riesgos, en los términos exigidos por la norma y la legislación aplicable.</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En esas condiciones, con la actividad reguladora y verificadora de esas dos autoridades del ejecutivo federal, que son especializadas en los temas de seguridad e impacto ambiental, y conocedoras de los avances tecnológicos y la normatividad que regula el expendio de gasolinas y diésel, se garantiza la seguridad de todos.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La Norma Oficial Mexicana </w:t>
      </w:r>
      <w:r w:rsidRPr="0081110D">
        <w:rPr>
          <w:rFonts w:ascii="Century Gothic" w:hAnsi="Century Gothic" w:cs="Arial"/>
          <w:b/>
          <w:sz w:val="22"/>
          <w:szCs w:val="22"/>
        </w:rPr>
        <w:t>NOM-005-ASEA-2016</w:t>
      </w:r>
      <w:r w:rsidRPr="0081110D">
        <w:rPr>
          <w:rFonts w:ascii="Century Gothic" w:hAnsi="Century Gothic" w:cs="Arial"/>
          <w:sz w:val="22"/>
          <w:szCs w:val="22"/>
        </w:rPr>
        <w:t xml:space="preserve">, para el Diseño, Construcción, Operación y Mantenimiento de Estaciones de Servicio para Almacenamiento y Expendio de Diésel y </w:t>
      </w:r>
      <w:r w:rsidRPr="0081110D">
        <w:rPr>
          <w:rFonts w:ascii="Century Gothic" w:hAnsi="Century Gothic" w:cs="Arial"/>
          <w:sz w:val="22"/>
          <w:szCs w:val="22"/>
        </w:rPr>
        <w:lastRenderedPageBreak/>
        <w:t>Gasolinas, la cual, regula todo lo necesario para preservar la integridad de las personas, del medio ambiente, y de las cosas, como son las instalaciones, para procurar reducir, obviamente, el impacto ambiental y los riesgos, se constituye entonces, el instrumento apto para regular inclusive las posibles distancias entre una y otra estación de servicio, por razones de impacto ambiental y riesgo. Y en esas condiciones, no es jurídicamente correcto ni técnicamente conveniente que el Municipio de Juárez, Estado de Chihuahua, quien no es técnico en materia de expendio de derivados del petróleo, mantenga en su respectivo reglamento, las distancias entre una y otra estación de servicios con base a esos parámetros cuya regulación no corresponde sino a las instancias del Ejecutivo Federal dotadas de los elementos técnicos y científicos correspondientes.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Por otra parte, el artículo 133 de la Constitución Política de los Estados Unidos Mexicanos, dispone: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 xml:space="preserve">“Artículo 133. Esta Constitución, </w:t>
      </w:r>
      <w:r w:rsidRPr="0081110D">
        <w:rPr>
          <w:rFonts w:ascii="Century Gothic" w:hAnsi="Century Gothic" w:cs="Arial"/>
          <w:b/>
          <w:sz w:val="22"/>
          <w:szCs w:val="22"/>
          <w:u w:val="single"/>
        </w:rPr>
        <w:t>las leyes del Congreso de la Unión que emanen de ella</w:t>
      </w:r>
      <w:r w:rsidRPr="0081110D">
        <w:rPr>
          <w:rFonts w:ascii="Century Gothic" w:hAnsi="Century Gothic" w:cs="Arial"/>
          <w:b/>
          <w:sz w:val="22"/>
          <w:szCs w:val="22"/>
        </w:rPr>
        <w:t xml:space="preserve"> y todos los Tratados que estén de acuerdo con la misma, celebrados y que se celebren por el Presidente de la República, con aprobación del Senado, serán Ley Suprema de toda la Unión. Los jueces de cada Estado se arreglarán a dicha Constitución, leyes y tratados, a pesar de las disposiciones en contrario que pueda haber en las Constituciones o leyes de los Estados”.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El precepto transcrito, prevé la supremacía de la Constitución Federal, las leyes del Congreso de la Unión que emanen de ella y todos los Tratados que estén de acuerdo con la misma. Y conforme a ese principio, cuando una ley general que incide en todos los órdenes de gobierno que integran al estado mexicano, cuya emisión deriva de cláusulas constitucionales, se integran también en ley Suprema, por remisión, y en esa medida no pueden transgredirse al ejercerse la facultad reglamentaria, pues de hacerlo por ejemplo, un Municipio, al expedir un reglamento que establece distancias entre una y otra estación expendedora de diésel y gasolinas, cuando esboza cuestiones de riesgo y medio ambiente relacionadas a cuestiones reservadas a la federación y normadas en una ley general emitida por el Congreso de la Unión y además  reguladas inclusive en normas oficiales expedidas por autoridades del ejecutivo federal con facultades para hacerlo, se vulnera ese principio y por consecuencia se invaden indebidamente las competencias reservadas.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Con relación al referido principio de supremacía constitucional, el Pleno de la Suprema Corte de Justicia de la Nación, emitió la tesis número P. VIII/2007, de rubro y texto siguiente: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“SUPREMACÍA CONSTITUCIONAL Y LEY SUPREMA DE LA UNIÓN. INTERPRETACIÓN DEL ARTÍCULO 133 CONSTITUCIONAL.</w:t>
      </w:r>
      <w:r w:rsidRPr="0081110D">
        <w:rPr>
          <w:rFonts w:ascii="Century Gothic" w:hAnsi="Century Gothic" w:cs="Arial"/>
          <w:sz w:val="22"/>
          <w:szCs w:val="22"/>
        </w:rPr>
        <w:t xml:space="preserve"> A partir de la interpretación del precepto citado, si aceptamos que las Leyes del Congreso de la Unión a las que aquél se refiere corresponden, no a las leyes federales sino a aquellas que inciden en todos los órdenes jurídicos parciales que integran al Estado Mexicano y cuya emisión deriva de cláusulas constitucionales que constriñen al legislador para dictarlas, el principio de ‘supremacía constitucional’ implícito en el texto del artículo en cita claramente se traduce en que la Constitución General de la República, las leyes generales del Congreso de la Unión y los tratados internacionales que estén de acuerdo con ella, constituyen la ‘Ley Suprema de la Unión’, esto es, conforman un orden jurídico superior, de carácter nacional, en el cual la Constitución se ubica en la cúspide y, por debajo de ella los tratados internacionales y las leyes generales”.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37 Registro 172667, Novena Época, Semanario Judicial de la Federación y su Gaceta, Tomo XXV, abril de 2007, Materia Constitucional, página 6.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Asimismo, el Pleno de la Suprema Corte de Justicia de la Nación, precisó que las leyes generales a que hace alusión el referido artículo 133 Constitucional, no son las leyes federales, que regulan las atribuciones conferidas a determinados órganos con el objeto de trascender únicamente al ámbito federal, sino las emitidas por el Congreso de la Unión con base en cláusulas constitucionales que le obligan a dictarlas; y una vez promulgadas y publicadas, deben ser aplicadas por las autoridades federales, locales, del Distrito Federal y municipales.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El criterio al que se hace referencia es el establecido en la tesis número P. VII/2007, del Pleno de la Suprema Corte de Justicia de la Nación, siguiente: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 xml:space="preserve">“LEYES GENERALES. INTERPRETACIÓN DEL ARTÍCULO 133 CONSTITUCIONAL. </w:t>
      </w:r>
      <w:r w:rsidRPr="0081110D">
        <w:rPr>
          <w:rFonts w:ascii="Century Gothic" w:hAnsi="Century Gothic" w:cs="Arial"/>
          <w:sz w:val="22"/>
          <w:szCs w:val="22"/>
        </w:rPr>
        <w:t xml:space="preserve">La lectura del precepto citado permite advertir la intención del Constituyente de establecer un conjunto de disposiciones de observancia general que, en la medida en que se encuentren apegadas a lo dispuesto por la Constitución Política de los Estados Unidos Mexicanos, constituyan la ‘Ley </w:t>
      </w:r>
      <w:r w:rsidRPr="0081110D">
        <w:rPr>
          <w:rFonts w:ascii="Century Gothic" w:hAnsi="Century Gothic" w:cs="Arial"/>
          <w:sz w:val="22"/>
          <w:szCs w:val="22"/>
        </w:rPr>
        <w:lastRenderedPageBreak/>
        <w:t xml:space="preserve">Suprema de la Unión’. En este sentido, debe entenderse que las leyes del Congreso de la Unión a las que se refiere el artículo constitucional no corresponden a las leyes federales, esto es, a aquellas que regulan las atribuciones conferidas a determinados órganos con el objeto de trascender únicamente al ámbito federal, sino que se trata de leyes generales que son aquellas que pueden incidir válidamente en todos los órdenes jurídicos parciales que integran al Estado Mexicano. Es decir, las leyes generales corresponden a aquellas respecto a las cuales el Constituyente o el Poder Revisor de la Constitución ha renunciado expresamente a su potestad distribuidora de atribuciones entre las entidades políticas que integran el Estado Mexicano, lo cual se traduce en una excepción al principio establecido por el artículo 124 constitucional. Además, estas leyes no son emitidas motu proprio por el Congreso de la Unión, sino que tienen su origen en cláusulas constitucionales que obligan a éste a dictarlas, de tal manera que una vez promulgadas y publicadas, deberán ser aplicadas por las autoridades federales, locales, del Distrito Federal y municipales”.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De la lectura de los artículos transcritos, se confirma que el Congreso de la Unión ya determinó la forma y los términos de la facultad de la jurisdicción federal en cuestión a través de una ley general, esto es, determinó que es una facultad de la Federación, la evaluación del impacto ambiental de las obras o actividades a que se refiere el artículo 28 de la Ley (entre otras la industria del petróleo) y, en su caso, la expedición de las autorizaciones correspondientes, asimismo, es la encargada de la regulación de las actividades relacionadas con la exploración, explotación y beneficio de los minerales, substancias y demás recursos del subsuelo que corresponden a la nación, en lo relativo a los efectos que dichas actividades puedan generar sobre el equilibrio ecológico y el ambiente, además se precisa que corresponde a los Estados, la prevención y el control de la contaminación generada por el aprovechamiento de las sustancias no reservadas a la Federación.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Sin embargo, como el Congreso de la Unión ya determinó en ejercicio de una cláusula constitucional que le obligaba a legislar, que existe una facultad exclusiva, tratándose de la regulación de las disposiciones legales vinculadas con el equilibrio ecológico y la protección al ambiente relacionadas con los hidrocarburos, en la cual únicamente la Federación, puede dictar disposiciones técnicas, reglamentarias y de regulación, en acatamiento a lo previsto por los artículos 25, 27 y 28 de la Constitución Política de los Estados Unidos Mexicanos y su Ley Reglamentaria, según artículo 95 de la Ley de Hidrocarburos, en los cuales, se reitera, el Congreso General reservó como exclusiva facultad para la Federación, la materia del impacto ambiental y riesgos relacionados con las actividades vinculadas a los hidrocarburos como es el expendio de diésel y gasolinas en estaciones de servicio, es obvio entonces que, para conciliar las disposiciones reglamentarias del Municipio, con esos principios fundamentales, debe realizarse la abrogación del Reglamento para la Ubicación y Operación de las Estaciones de Servicio del Municipio de Juárez, Estado de Chihuahua.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Máxime, que al crearse la Ley de la Agencia Nacional de Seguridad Industrial y de Protección al Medio Ambiente del Sector de Hidrocarburos, se estableció en los numerales 1°, 5° y 7°, que dicha Agencia es un órgano administrativo desconcentrado de la Secretaría de Medio Ambiente y Recursos Naturales, con autonomía técnica y de gestión, que tiene por objeto la protección de las personas, el medio ambiente y las instalaciones del sector, a la que compete la regulación y supervisión en la materia y, específicamente, otorgar las autorizaciones en materia de impacto y riesgo ambiental del sector de hidrocarburos, pues esos preceptos disponen: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“Artículo 1o.- La presente Ley es de orden público e interés general y de aplicación en todo el territorio nacional y zonas en las que la Nación ejerce soberanía o jurisdicción y tiene como objeto crear la Agencia Nacional de Seguridad Industrial y de Protección al Medio Ambiente del Sector Hidrocarburos, como un órgano administrativo desconcentrado de la Secretaría de Medio Ambiente y Recursos Naturales, con autonomía técnica y de gestión. La Agencia tiene por objeto la protección de las personas, el medio ambiente y las instalaciones del sector hidrocarburos a través de la regulación y supervisión de: I. La Seguridad Industrial y Seguridad Operativa; II. Las actividades de desmantelamiento y abandono de instalaciones, y III. El control integral de los residuos y emisiones contaminantes.”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“Artículo 5o.- La Agencia tendrá las siguientes atribuciones: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 XVIII. Expedir, suspender, revocar o negar las licencias, autorizaciones, permisos y registros en materia ambiental, a que se refiere el artículo 7 de esta Ley, en los términos de las disposiciones normativas aplicables;(…)”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lastRenderedPageBreak/>
        <w:t xml:space="preserve">“Artículo 7o.- Los actos administrativos a que se refiere la fracción XVIII del artículo 5o., serán los siguientes: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I. Autorizaciones en materia de impacto y riesgo ambiental del Sector Hidrocarburos; de carbonoductos; instalaciones de tratamiento, confinamiento o eliminación de residuos peligrosos; aprovechamientos forestales en selvas tropicales, y especies de difícil regeneración; así como obras y actividades en humedales, manglares, lagunas, ríos, lagos y esteros conectados con el mar, litorales o las zonas federales de las áreas antes mencionadas, en términos del artículo 28 de la Ley General del Equilibrio Ecológico y la Protección al Ambiente y del Reglamento de la materia; (…)”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De la lectura de las disposiciones transcritas, se advierte que la intención del Constituyente Permanente fue la de privilegiar un sector de hidrocarburos en el cual la producción energética se realice sin perder de vista la sustentabilidad ambiental, entendida ésta como la administración eficiente y racional de los recursos fósiles, de manera tal que sea posible elevar el bienestar de la población actual, sin que ello implique comprometer la calidad de vida de futuras generaciones. Tomando en cuenta dichos objetivos, se determinó crear un órgano administrativo al que se facultara para supervisar y vigilar el cumplimiento de la normativa ambiental en la realización de actividades vinculadas con el sector de hidrocarburos, para lo cual se le dotó de atribuciones como la de expedir, suspender, revocar o negar autorizaciones en materia de impacto y riesgo ambiental en términos del artículo 28 de la Ley General del Equilibrio Ecológico y la Protección al Ambiente.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De esta manera, el Órgano Reformador de la Constitución, al realizar la reforma en materia energética, reservó a la jurisdicción federal la regulación, supervisión y vigilancia del sector de hidrocarburos, ordenando la creación del órgano administrativo encargado de asegurar el cumplimiento de la normativa relativa. Así fue como nació la Agencia Nacional de Seguridad Industrial y de Protección al Medio Ambiente del Sector Hidrocarburos, cuya naturaleza es la de un órgano administrativo desconcentrado de la Secretaría de Medio Ambiente y Recursos Naturales, encargado de la vigilancia del sector y facultado específicamente para otorgar las autorizaciones en materia de impacto y riesgo ambiental del sector de hidrocarburos.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Luego, es inconcuso que, por disposición del Órgano Reformador de la Ley Suprema, está reservada a la exclusiva jurisdicción y competencia federales el sector de hidrocarburos, con independencia de la distribución que de las facultades concurrentes en materia de preservación y restauración del equilibrio ecológico y la protección al ambiente se haga en la Ley General del Equilibrio Ecológico y la Protección al Ambiente.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Por ende, se confirma que el Congreso General reservó como exclusiva facultad para la Federación, la materia del impacto ambiental y equilibrio ecológico; de ahí la necesidad de la armonización de las disposiciones reglamentarias del Municipio de Juárez, Estado de Chihuahua, a los anteriores principios, máxime que de manera orientadora se han dictado varias sentencias del Poder Judicial de la Federación que han resuelto que el Municipio de Juárez, Estado de Chihuahua, no está facultado para emitir disposiciones en la materia específica de hidrocarburos, debido a que en términos de las disposiciones legales y constitucionales analizadas, la materia ambiental vinculada con actividades relativas a hidrocarburos, es una facultad exclusiva de la Federación y por consecuencia, el procedimiento de evaluación de impacto ambiental en el establecimiento de estaciones expendedoras de gasolina, diésel y otros derivados del petróleo industrializado no puede ser reglamentado por los Municipios, ya que se incluye dentro de la industria de hidrocarburos, que es de exclusiva jurisdicción federal.</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En apoyo a lo anterior se cita la tesis cuyos datos de identificación, rubro y texto son:</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Época: Décima Época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Registro: 2017596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Instancia: Tribunales Colegiados de Circuito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Tipo de Tesis: Aislada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Fuente: Gaceta del Semanario Judicial de la Federación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Libro 57, agosto de 2018, Tomo III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Materia(s): Constitucional, Administrativa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Tesis: XVII.2o.1 A (10a.)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Página: 3161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lastRenderedPageBreak/>
        <w:t>UBICACIÓN Y OPERACIÓN DE LAS ESTACIONES DE SERVICIO PARA EL MUNICIPIO DE CIUDAD JUÁREZ. LOS ARTÍCULOS 38 Y 39 DEL REGLAMENTO RELATIVO, VIOLAN EL PRINCIPIO DE SUPREMACÍA CONSTITUCIONAL, CONTENIDO EN EL PRECEPTO 133 DE LA CONSTITUCIÓN FEDERAL.</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Los artículos 38 y 39 del Reglamento para la Ubicación y Operación de las Estaciones de Servicio para el Municipio de Juárez, Estado de Chihuahua, regulan la materia de impacto ambiental vinculada con las actividades relativas a los hidrocarburos, al utilizar como elemento sustancial para la zonificación de los lugares donde podrá ubicarse una estación de servicio, los índices de contaminación y de riesgo que determinen los reglamentos municipales. Por tanto, dichos numerales violan el principio de supremacía constitucional contenido en el precepto 133 de la Constitución Política de los Estados Unidos Mexicanos, dado que la facultad de emitir disposiciones en materia de hidrocarburos es exclusiva de la Federación, acorde con los diversos 25, 27 y 28 constitucionales.</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SEGUNDO TRIBUNAL COLEGIADO DEL DÉCIMO SÉPTIMO CIRCUITO.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Amparo en revisión 37/2018. Almacenes Distribuidores de la Frontera, S.A. de C.V. 16 de mayo de 2018. Unanimidad de votos. Ponente: Rogelio Alberto Montoya Rodríguez. Secretaria: Jacqueline Paniagua Uribe.</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Esta tesis se publicó el viernes 10 de agosto de 2018 a las 10:18 horas en el Semanario Judicial de la Federación.</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 </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Sin que para lo anterior sea obstáculo el que, al resolver la controversia constitucional 21/2006, el Pleno de la Suprema Corte de Justicia de la Nación,  haya determinado que el Reglamento para la Ubicación y Operación de las Estaciones de Servicio para el Municipio de Juárez para el Estado de Chihuahua, no era inconstitucional, pues  en esa ejecutoria, lo fallado fue con relación a que </w:t>
      </w:r>
      <w:r w:rsidRPr="0081110D">
        <w:rPr>
          <w:rFonts w:ascii="Century Gothic" w:hAnsi="Century Gothic" w:cs="Arial"/>
          <w:b/>
          <w:sz w:val="22"/>
          <w:szCs w:val="22"/>
        </w:rPr>
        <w:t xml:space="preserve">el Reglamento citado, al establecer distancias donde se instalarán las estaciones de servicio de expendio de combustibles, no transgredía la garantía de libre concurrencia y de trabajo. </w:t>
      </w:r>
      <w:r w:rsidRPr="0081110D">
        <w:rPr>
          <w:rFonts w:ascii="Century Gothic" w:hAnsi="Century Gothic" w:cs="Arial"/>
          <w:sz w:val="22"/>
          <w:szCs w:val="22"/>
        </w:rPr>
        <w:t xml:space="preserve">Y además, la vigencia del artículo 95 de la Ley de Hidrocarburos, en el que derivado de la cláusula constitucional respectiva, el Congreso General reservó como exclusiva facultad para la Federación, la materia del impacto ambiental relacionada con las actividades vinculadas a los hidrocarburos, entró en vigor el doce de agosto de dos mil catorce, lo cual revela que al resolverse la controversia constitucional 21/2006, aún no estaba vigente dicha Ley, la cual tuvo origen con motivo de la reforma en materia energética posterior a la resolución. </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En consecuencia, para depurar las disposiciones reglamentarias de este Municipio, y no vulnerar las esferas competenciales de la federación, determinadas inclusive en las diversas disposiciones que integraron la Reforma Energética, se considera conveniente, oportuno y necesario, abrogar el reglamento que se comenta, pues la facultad reglamentaria tiene límites y los mismos no deben rebasarse como se estarían rebasando de subsistir el referido reglamento.</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Tiene aplicación al argumento anterior, la tesis de jurisprudencia del Pleno de la Suprema Corte de Justicia de la Nación, cuyos datos de identificación, rubro y texto son:</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Época: Novena Época</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Registro: 172521</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Instancia: Pleno</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Tipo de Tesis: Jurisprudencia</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Fuente: Semanario Judicial de la Federación y su Gaceta</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Tomo XXV, mayo de 2007</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Materia(s): Constitucional</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Tesis: P./J. 30/2007</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Página: 1515</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b/>
          <w:sz w:val="22"/>
          <w:szCs w:val="22"/>
        </w:rPr>
      </w:pPr>
      <w:r w:rsidRPr="0081110D">
        <w:rPr>
          <w:rFonts w:ascii="Century Gothic" w:hAnsi="Century Gothic" w:cs="Arial"/>
          <w:b/>
          <w:sz w:val="22"/>
          <w:szCs w:val="22"/>
        </w:rPr>
        <w:t>FACULTAD REGLAMENTARIA. SUS LÍMITES.</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 xml:space="preserve">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w:t>
      </w:r>
      <w:r w:rsidRPr="0081110D">
        <w:rPr>
          <w:rFonts w:ascii="Century Gothic" w:hAnsi="Century Gothic" w:cs="Arial"/>
          <w:sz w:val="22"/>
          <w:szCs w:val="22"/>
        </w:rPr>
        <w:lastRenderedPageBreak/>
        <w:t>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Acción de inconstitucionalidad 36/2006. Partido Acción Nacional. 23 de noviembre de 2006. Unanimidad de diez votos. Ausente: José de Jesús Gudiño Pelayo. Ponente: Genaro David Góngora Pimentel. Secretarios: Makawi Staines Díaz, Marat Paredes Montiel y Rómulo Amadeo Figueroa Salmorán.</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sz w:val="22"/>
          <w:szCs w:val="22"/>
        </w:rPr>
        <w:t>El Tribunal Pleno, el diecisiete de abril en curso, aprobó, con el número 30/2007, la tesis jurisprudencial que antecede.</w:t>
      </w:r>
    </w:p>
    <w:p w:rsidR="002C2030" w:rsidRPr="0081110D" w:rsidRDefault="002C2030" w:rsidP="002C2030">
      <w:pPr>
        <w:ind w:right="67"/>
        <w:jc w:val="both"/>
        <w:rPr>
          <w:rFonts w:ascii="Century Gothic" w:hAnsi="Century Gothic" w:cs="Arial"/>
          <w:sz w:val="22"/>
          <w:szCs w:val="22"/>
        </w:rPr>
      </w:pPr>
    </w:p>
    <w:p w:rsidR="002C2030" w:rsidRPr="0081110D" w:rsidRDefault="002C2030" w:rsidP="002C2030">
      <w:pPr>
        <w:pStyle w:val="Textoindependiente"/>
        <w:spacing w:line="240" w:lineRule="auto"/>
        <w:rPr>
          <w:rFonts w:ascii="Century Gothic" w:hAnsi="Century Gothic" w:cs="Arial"/>
          <w:b w:val="0"/>
          <w:sz w:val="22"/>
          <w:szCs w:val="22"/>
        </w:rPr>
      </w:pPr>
      <w:r w:rsidRPr="0081110D">
        <w:rPr>
          <w:rFonts w:ascii="Century Gothic" w:hAnsi="Century Gothic" w:cs="Arial"/>
          <w:b w:val="0"/>
          <w:sz w:val="22"/>
          <w:szCs w:val="22"/>
        </w:rPr>
        <w:t xml:space="preserve">Derivado de lo anterior, con fundamento en lo previsto por los artículos 28 del Código Municipal del Estado de Chihuahua, 67 y 68 del Reglamento Interior del Honorable Ayuntamiento del propio Municipio de Juárez, esta Autoridad Municipal aprueba mediante votación nominal y por mayoría de quince votos a favor y dos votos en contra de los Regidores Magdaleno Silva López y Olivia Bonilla Soto, emitir el siguiente: </w:t>
      </w:r>
    </w:p>
    <w:p w:rsidR="002C2030" w:rsidRPr="0081110D" w:rsidRDefault="002C2030" w:rsidP="002C2030">
      <w:pPr>
        <w:ind w:right="67"/>
        <w:jc w:val="both"/>
        <w:rPr>
          <w:rFonts w:ascii="Century Gothic" w:hAnsi="Century Gothic" w:cs="Arial"/>
          <w:b/>
          <w:sz w:val="22"/>
          <w:szCs w:val="22"/>
        </w:rPr>
      </w:pP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rPr>
        <w:t xml:space="preserve">ACUERDO: </w:t>
      </w:r>
      <w:r w:rsidRPr="0081110D">
        <w:rPr>
          <w:rFonts w:ascii="Century Gothic" w:hAnsi="Century Gothic" w:cs="Arial"/>
          <w:b/>
          <w:sz w:val="22"/>
          <w:szCs w:val="22"/>
          <w:u w:val="single"/>
        </w:rPr>
        <w:t>PRIMERO</w:t>
      </w:r>
      <w:r w:rsidRPr="0081110D">
        <w:rPr>
          <w:rFonts w:ascii="Century Gothic" w:hAnsi="Century Gothic" w:cs="Arial"/>
          <w:b/>
          <w:sz w:val="22"/>
          <w:szCs w:val="22"/>
        </w:rPr>
        <w:t>.-</w:t>
      </w:r>
      <w:r w:rsidRPr="0081110D">
        <w:rPr>
          <w:rFonts w:ascii="Century Gothic" w:hAnsi="Century Gothic" w:cs="Arial"/>
          <w:sz w:val="22"/>
          <w:szCs w:val="22"/>
        </w:rPr>
        <w:t xml:space="preserve"> Se abroga el Reglamento para la Ubicación y Operación de las Estaciones de Servicio para el Municipio de Juárez, Estado de Chihuahua.</w:t>
      </w:r>
    </w:p>
    <w:p w:rsidR="002C2030" w:rsidRPr="0081110D" w:rsidRDefault="002C2030" w:rsidP="002C2030">
      <w:pPr>
        <w:ind w:right="67"/>
        <w:jc w:val="both"/>
        <w:rPr>
          <w:rFonts w:ascii="Century Gothic" w:hAnsi="Century Gothic" w:cs="Arial"/>
          <w:sz w:val="22"/>
          <w:szCs w:val="22"/>
        </w:rPr>
      </w:pPr>
      <w:r w:rsidRPr="0081110D">
        <w:rPr>
          <w:rFonts w:ascii="Century Gothic" w:hAnsi="Century Gothic" w:cs="Arial"/>
          <w:b/>
          <w:sz w:val="22"/>
          <w:szCs w:val="22"/>
          <w:u w:val="single"/>
        </w:rPr>
        <w:t>SEGUNDO</w:t>
      </w:r>
      <w:r w:rsidRPr="0081110D">
        <w:rPr>
          <w:rFonts w:ascii="Century Gothic" w:hAnsi="Century Gothic" w:cs="Arial"/>
          <w:b/>
          <w:sz w:val="22"/>
          <w:szCs w:val="22"/>
        </w:rPr>
        <w:t xml:space="preserve">.- </w:t>
      </w:r>
      <w:r w:rsidRPr="0081110D">
        <w:rPr>
          <w:rFonts w:ascii="Century Gothic" w:hAnsi="Century Gothic" w:cs="Arial"/>
          <w:sz w:val="22"/>
          <w:szCs w:val="22"/>
        </w:rPr>
        <w:t>Se instruye al Presidente Municipal y el Secretario del Honorable Ayuntamiento y de la Presidencia Municipal, para que provean lo necesario a efecto de que sea publicada la abrogación, en el Periódico Oficial del Estado de Chihuahua, o en la Gaceta del Municipio que sea instrumentada en términos de lo previsto por el artículo 50 BIS del Código Municipal.</w:t>
      </w:r>
    </w:p>
    <w:p w:rsidR="002C2030" w:rsidRPr="0081110D" w:rsidRDefault="002C2030" w:rsidP="002C2030">
      <w:pPr>
        <w:ind w:right="67"/>
        <w:jc w:val="both"/>
        <w:rPr>
          <w:rFonts w:ascii="Century Gothic" w:hAnsi="Century Gothic" w:cs="Arial"/>
          <w:sz w:val="22"/>
          <w:szCs w:val="22"/>
        </w:rPr>
      </w:pPr>
    </w:p>
    <w:p w:rsidR="002C2030" w:rsidRPr="00430819" w:rsidRDefault="002C2030" w:rsidP="002C2030">
      <w:pPr>
        <w:ind w:right="67"/>
        <w:jc w:val="center"/>
        <w:rPr>
          <w:rFonts w:ascii="Century Gothic" w:hAnsi="Century Gothic" w:cs="Arial"/>
          <w:b/>
          <w:i/>
          <w:sz w:val="22"/>
          <w:szCs w:val="22"/>
          <w:lang w:val="en-US"/>
        </w:rPr>
      </w:pPr>
      <w:r w:rsidRPr="00430819">
        <w:rPr>
          <w:rFonts w:ascii="Century Gothic" w:hAnsi="Century Gothic" w:cs="Arial"/>
          <w:b/>
          <w:i/>
          <w:sz w:val="22"/>
          <w:szCs w:val="22"/>
          <w:lang w:val="en-US"/>
        </w:rPr>
        <w:t>T R A N S I T O R I O S</w:t>
      </w:r>
    </w:p>
    <w:p w:rsidR="002C2030" w:rsidRPr="00430819" w:rsidRDefault="002C2030" w:rsidP="002C2030">
      <w:pPr>
        <w:ind w:right="67"/>
        <w:jc w:val="both"/>
        <w:rPr>
          <w:rFonts w:ascii="Century Gothic" w:hAnsi="Century Gothic" w:cs="Arial"/>
          <w:i/>
          <w:sz w:val="22"/>
          <w:szCs w:val="22"/>
          <w:lang w:val="en-US"/>
        </w:rPr>
      </w:pPr>
    </w:p>
    <w:p w:rsidR="002C2030" w:rsidRPr="0081110D" w:rsidRDefault="002C2030" w:rsidP="002C2030">
      <w:pPr>
        <w:ind w:right="67"/>
        <w:jc w:val="both"/>
        <w:rPr>
          <w:rFonts w:ascii="Century Gothic" w:hAnsi="Century Gothic" w:cs="Arial"/>
          <w:i/>
          <w:sz w:val="22"/>
          <w:szCs w:val="22"/>
        </w:rPr>
      </w:pPr>
      <w:r w:rsidRPr="0081110D">
        <w:rPr>
          <w:rFonts w:ascii="Century Gothic" w:hAnsi="Century Gothic" w:cs="Arial"/>
          <w:b/>
          <w:i/>
          <w:sz w:val="22"/>
          <w:szCs w:val="22"/>
        </w:rPr>
        <w:t xml:space="preserve">PRIMERO.- </w:t>
      </w:r>
      <w:r w:rsidRPr="0081110D">
        <w:rPr>
          <w:rFonts w:ascii="Century Gothic" w:hAnsi="Century Gothic" w:cs="Arial"/>
          <w:i/>
          <w:sz w:val="22"/>
          <w:szCs w:val="22"/>
        </w:rPr>
        <w:t>La abrogación del presente reglamento, tendrá efectos a partir del día siguiente de su publicación en el Periódico Oficial del Estado, o en la Gaceta Municipal que sea instrumentada en términos de lo previsto por el artículo 50 BIS del Código Municipal.</w:t>
      </w:r>
    </w:p>
    <w:p w:rsidR="002C2030" w:rsidRPr="0081110D" w:rsidRDefault="002C2030" w:rsidP="002C2030">
      <w:pPr>
        <w:pStyle w:val="Textoindependiente"/>
        <w:spacing w:line="240" w:lineRule="auto"/>
        <w:ind w:right="67"/>
        <w:rPr>
          <w:rFonts w:ascii="Century Gothic" w:hAnsi="Century Gothic" w:cs="Arial"/>
          <w:b w:val="0"/>
          <w:i/>
          <w:sz w:val="22"/>
          <w:szCs w:val="22"/>
        </w:rPr>
      </w:pPr>
      <w:r w:rsidRPr="0081110D">
        <w:rPr>
          <w:rFonts w:ascii="Century Gothic" w:hAnsi="Century Gothic" w:cs="Arial"/>
          <w:i/>
          <w:sz w:val="22"/>
          <w:szCs w:val="22"/>
        </w:rPr>
        <w:t>SEGUNDO.-</w:t>
      </w:r>
      <w:r w:rsidRPr="0081110D">
        <w:rPr>
          <w:rFonts w:ascii="Century Gothic" w:hAnsi="Century Gothic" w:cs="Arial"/>
          <w:b w:val="0"/>
          <w:i/>
          <w:sz w:val="22"/>
          <w:szCs w:val="22"/>
        </w:rPr>
        <w:t xml:space="preserve"> Las peticiones de licencias, autorizaciones, solicitudes o procedimientos que deban considerarse no resueltos definitivamente por las autoridades municipales, serán atendidas y resueltas sin aplicarse las previsiones, restricciones o modalidades impuestas en el reglamento abrogado.</w:t>
      </w:r>
    </w:p>
    <w:p w:rsidR="001D09D0" w:rsidRPr="0081110D" w:rsidRDefault="001D09D0" w:rsidP="00356FF6">
      <w:pPr>
        <w:pStyle w:val="Sinespaciado"/>
        <w:tabs>
          <w:tab w:val="left" w:pos="851"/>
        </w:tabs>
        <w:jc w:val="both"/>
        <w:rPr>
          <w:rFonts w:ascii="Century Gothic" w:hAnsi="Century Gothic" w:cs="Arial"/>
          <w:b/>
          <w:bCs/>
          <w:spacing w:val="-3"/>
          <w:sz w:val="22"/>
          <w:szCs w:val="22"/>
          <w:lang w:val="es-MX"/>
        </w:rPr>
      </w:pPr>
    </w:p>
    <w:p w:rsidR="002C2030" w:rsidRPr="0081110D" w:rsidRDefault="002C2030" w:rsidP="00356FF6">
      <w:pPr>
        <w:pStyle w:val="Sinespaciado"/>
        <w:tabs>
          <w:tab w:val="left" w:pos="851"/>
        </w:tabs>
        <w:jc w:val="both"/>
        <w:rPr>
          <w:rFonts w:ascii="Century Gothic" w:hAnsi="Century Gothic" w:cs="Arial"/>
          <w:b/>
          <w:bCs/>
          <w:spacing w:val="-3"/>
          <w:sz w:val="22"/>
          <w:szCs w:val="22"/>
          <w:lang w:val="es-MX"/>
        </w:rPr>
      </w:pPr>
    </w:p>
    <w:p w:rsidR="004333E6" w:rsidRPr="0081110D" w:rsidRDefault="00EE4DC0" w:rsidP="001417DA">
      <w:pPr>
        <w:pStyle w:val="Sinespaciado"/>
        <w:tabs>
          <w:tab w:val="left" w:pos="851"/>
        </w:tabs>
        <w:jc w:val="both"/>
        <w:rPr>
          <w:rFonts w:ascii="Century Gothic" w:hAnsi="Century Gothic" w:cs="Arial"/>
          <w:b/>
          <w:bCs/>
          <w:spacing w:val="-3"/>
          <w:sz w:val="22"/>
          <w:szCs w:val="22"/>
          <w:lang w:val="es-MX"/>
        </w:rPr>
      </w:pPr>
      <w:r w:rsidRPr="0081110D">
        <w:rPr>
          <w:rFonts w:ascii="Century Gothic" w:hAnsi="Century Gothic" w:cs="Arial"/>
          <w:b/>
          <w:bCs/>
          <w:spacing w:val="-3"/>
          <w:sz w:val="22"/>
          <w:szCs w:val="22"/>
          <w:lang w:val="es-MX"/>
        </w:rPr>
        <w:t>ASUNTO NÚMERO TRE</w:t>
      </w:r>
      <w:r w:rsidR="007B381D" w:rsidRPr="0081110D">
        <w:rPr>
          <w:rFonts w:ascii="Century Gothic" w:hAnsi="Century Gothic" w:cs="Arial"/>
          <w:b/>
          <w:bCs/>
          <w:spacing w:val="-3"/>
          <w:sz w:val="22"/>
          <w:szCs w:val="22"/>
          <w:lang w:val="es-MX"/>
        </w:rPr>
        <w:t>S</w:t>
      </w:r>
      <w:r w:rsidRPr="0081110D">
        <w:rPr>
          <w:rFonts w:ascii="Century Gothic" w:hAnsi="Century Gothic" w:cs="Arial"/>
          <w:b/>
          <w:bCs/>
          <w:spacing w:val="-3"/>
          <w:sz w:val="22"/>
          <w:szCs w:val="22"/>
          <w:lang w:val="es-MX"/>
        </w:rPr>
        <w:t>.-</w:t>
      </w:r>
      <w:r w:rsidRPr="0081110D">
        <w:rPr>
          <w:rFonts w:ascii="Century Gothic" w:hAnsi="Century Gothic" w:cs="Arial"/>
          <w:bCs/>
          <w:spacing w:val="-3"/>
          <w:sz w:val="22"/>
          <w:szCs w:val="22"/>
          <w:lang w:val="es-MX"/>
        </w:rPr>
        <w:t xml:space="preserve"> </w:t>
      </w:r>
      <w:r w:rsidR="004333E6" w:rsidRPr="0081110D">
        <w:rPr>
          <w:rFonts w:ascii="Century Gothic" w:hAnsi="Century Gothic" w:cs="Arial"/>
          <w:sz w:val="22"/>
          <w:szCs w:val="22"/>
          <w:lang w:val="es-MX"/>
        </w:rPr>
        <w:t xml:space="preserve">No habiendo otro asunto que tratar en el orden del día y siendo las </w:t>
      </w:r>
      <w:r w:rsidR="0086718D" w:rsidRPr="0081110D">
        <w:rPr>
          <w:rFonts w:ascii="Century Gothic" w:hAnsi="Century Gothic" w:cs="Arial"/>
          <w:sz w:val="22"/>
          <w:szCs w:val="22"/>
          <w:lang w:val="es-MX"/>
        </w:rPr>
        <w:t xml:space="preserve">trece </w:t>
      </w:r>
      <w:r w:rsidR="004333E6" w:rsidRPr="0081110D">
        <w:rPr>
          <w:rFonts w:ascii="Century Gothic" w:hAnsi="Century Gothic" w:cs="Arial"/>
          <w:sz w:val="22"/>
          <w:szCs w:val="22"/>
          <w:lang w:val="es-MX"/>
        </w:rPr>
        <w:t>horas</w:t>
      </w:r>
      <w:r w:rsidR="000D3582" w:rsidRPr="0081110D">
        <w:rPr>
          <w:rFonts w:ascii="Century Gothic" w:hAnsi="Century Gothic" w:cs="Arial"/>
          <w:sz w:val="22"/>
          <w:szCs w:val="22"/>
          <w:lang w:val="es-MX"/>
        </w:rPr>
        <w:t xml:space="preserve"> con </w:t>
      </w:r>
      <w:r w:rsidR="0086718D" w:rsidRPr="0081110D">
        <w:rPr>
          <w:rFonts w:ascii="Century Gothic" w:hAnsi="Century Gothic" w:cs="Arial"/>
          <w:sz w:val="22"/>
          <w:szCs w:val="22"/>
          <w:lang w:val="es-MX"/>
        </w:rPr>
        <w:t xml:space="preserve">cuarenta y cuatro </w:t>
      </w:r>
      <w:r w:rsidR="000D3582" w:rsidRPr="0081110D">
        <w:rPr>
          <w:rFonts w:ascii="Century Gothic" w:hAnsi="Century Gothic" w:cs="Arial"/>
          <w:sz w:val="22"/>
          <w:szCs w:val="22"/>
          <w:lang w:val="es-MX"/>
        </w:rPr>
        <w:t>minutos</w:t>
      </w:r>
      <w:r w:rsidR="004333E6" w:rsidRPr="0081110D">
        <w:rPr>
          <w:rFonts w:ascii="Century Gothic" w:hAnsi="Century Gothic" w:cs="Arial"/>
          <w:sz w:val="22"/>
          <w:szCs w:val="22"/>
          <w:lang w:val="es-MX"/>
        </w:rPr>
        <w:t xml:space="preserve"> del mismo día, mes y año, el Presidente </w:t>
      </w:r>
      <w:r w:rsidR="001716D9" w:rsidRPr="0081110D">
        <w:rPr>
          <w:rFonts w:ascii="Century Gothic" w:hAnsi="Century Gothic" w:cs="Arial"/>
          <w:sz w:val="22"/>
          <w:szCs w:val="22"/>
          <w:lang w:val="es-MX"/>
        </w:rPr>
        <w:t xml:space="preserve">de la </w:t>
      </w:r>
      <w:r w:rsidR="0086718D" w:rsidRPr="0081110D">
        <w:rPr>
          <w:rFonts w:ascii="Century Gothic" w:hAnsi="Century Gothic" w:cs="Arial"/>
          <w:sz w:val="22"/>
          <w:szCs w:val="22"/>
          <w:lang w:val="es-MX"/>
        </w:rPr>
        <w:t>S</w:t>
      </w:r>
      <w:r w:rsidR="001716D9" w:rsidRPr="0081110D">
        <w:rPr>
          <w:rFonts w:ascii="Century Gothic" w:hAnsi="Century Gothic" w:cs="Arial"/>
          <w:sz w:val="22"/>
          <w:szCs w:val="22"/>
          <w:lang w:val="es-MX"/>
        </w:rPr>
        <w:t xml:space="preserve">esión, </w:t>
      </w:r>
      <w:r w:rsidR="004333E6" w:rsidRPr="0081110D">
        <w:rPr>
          <w:rFonts w:ascii="Century Gothic" w:hAnsi="Century Gothic" w:cs="Arial"/>
          <w:sz w:val="22"/>
          <w:szCs w:val="22"/>
          <w:lang w:val="es-MX"/>
        </w:rPr>
        <w:t xml:space="preserve">dio por clausurada la presente sesión, levantándose la presente acta para constancia.  </w:t>
      </w:r>
    </w:p>
    <w:p w:rsidR="000918DF" w:rsidRPr="0081110D" w:rsidRDefault="000918DF" w:rsidP="001417DA">
      <w:pPr>
        <w:jc w:val="both"/>
        <w:rPr>
          <w:rFonts w:ascii="Century Gothic" w:hAnsi="Century Gothic" w:cs="Arial"/>
          <w:b/>
          <w:sz w:val="22"/>
          <w:szCs w:val="22"/>
        </w:rPr>
      </w:pPr>
    </w:p>
    <w:p w:rsidR="005936F3" w:rsidRPr="0081110D" w:rsidRDefault="005936F3" w:rsidP="001417DA">
      <w:pPr>
        <w:jc w:val="both"/>
        <w:rPr>
          <w:rFonts w:ascii="Century Gothic" w:hAnsi="Century Gothic" w:cs="Arial"/>
          <w:b/>
          <w:sz w:val="22"/>
          <w:szCs w:val="22"/>
        </w:rPr>
      </w:pPr>
    </w:p>
    <w:p w:rsidR="00380943" w:rsidRPr="0081110D" w:rsidRDefault="00710945" w:rsidP="001417DA">
      <w:pPr>
        <w:jc w:val="both"/>
        <w:rPr>
          <w:rFonts w:ascii="Century Gothic" w:hAnsi="Century Gothic" w:cs="Arial"/>
          <w:b/>
          <w:sz w:val="22"/>
          <w:szCs w:val="22"/>
        </w:rPr>
      </w:pPr>
      <w:r w:rsidRPr="0081110D">
        <w:rPr>
          <w:rFonts w:ascii="Century Gothic" w:hAnsi="Century Gothic" w:cs="Arial"/>
          <w:b/>
          <w:sz w:val="22"/>
          <w:szCs w:val="22"/>
        </w:rPr>
        <w:t>Documentos que se agregan al apéndice de la presente acta:</w:t>
      </w:r>
    </w:p>
    <w:p w:rsidR="00D0634B" w:rsidRPr="0081110D" w:rsidRDefault="00D0634B" w:rsidP="001417DA">
      <w:pPr>
        <w:pStyle w:val="Sinespaciado"/>
        <w:tabs>
          <w:tab w:val="left" w:pos="709"/>
          <w:tab w:val="left" w:pos="851"/>
        </w:tabs>
        <w:jc w:val="both"/>
        <w:rPr>
          <w:rFonts w:ascii="Century Gothic" w:hAnsi="Century Gothic" w:cs="Tahoma"/>
          <w:b/>
          <w:sz w:val="22"/>
          <w:szCs w:val="22"/>
          <w:lang w:val="es-MX"/>
        </w:rPr>
      </w:pPr>
    </w:p>
    <w:p w:rsidR="00710945" w:rsidRPr="0081110D" w:rsidRDefault="009C0958" w:rsidP="001417DA">
      <w:pPr>
        <w:pStyle w:val="Sinespaciado"/>
        <w:tabs>
          <w:tab w:val="left" w:pos="993"/>
        </w:tabs>
        <w:jc w:val="both"/>
        <w:rPr>
          <w:rFonts w:ascii="Century Gothic" w:hAnsi="Century Gothic" w:cs="Courier New"/>
          <w:sz w:val="18"/>
          <w:szCs w:val="18"/>
          <w:lang w:val="es-MX"/>
        </w:rPr>
      </w:pPr>
      <w:r w:rsidRPr="0081110D">
        <w:rPr>
          <w:rFonts w:ascii="Century Gothic" w:eastAsia="Calibri" w:hAnsi="Century Gothic" w:cs="Calibri Light"/>
          <w:b/>
          <w:sz w:val="18"/>
          <w:szCs w:val="18"/>
          <w:lang w:val="es-MX"/>
        </w:rPr>
        <w:t>a).-</w:t>
      </w:r>
      <w:r w:rsidRPr="0081110D">
        <w:rPr>
          <w:rFonts w:ascii="Century Gothic" w:eastAsia="Calibri" w:hAnsi="Century Gothic" w:cs="Calibri Light"/>
          <w:sz w:val="18"/>
          <w:szCs w:val="18"/>
          <w:lang w:val="es-MX"/>
        </w:rPr>
        <w:t xml:space="preserve"> </w:t>
      </w:r>
      <w:r w:rsidR="00EC12AA" w:rsidRPr="0081110D">
        <w:rPr>
          <w:rFonts w:ascii="Century Gothic" w:eastAsia="Calibri" w:hAnsi="Century Gothic" w:cs="Calibri Light"/>
          <w:sz w:val="18"/>
          <w:szCs w:val="18"/>
          <w:lang w:val="es-MX"/>
        </w:rPr>
        <w:t xml:space="preserve">Proyecto de acuerdo de la iniciativa que propone </w:t>
      </w:r>
      <w:r w:rsidR="00D80D9B">
        <w:rPr>
          <w:rFonts w:ascii="Century Gothic" w:eastAsia="Calibri" w:hAnsi="Century Gothic" w:cs="Calibri Light"/>
          <w:sz w:val="18"/>
          <w:szCs w:val="18"/>
          <w:lang w:val="es-MX"/>
        </w:rPr>
        <w:t>abrogar</w:t>
      </w:r>
      <w:r w:rsidRPr="0081110D">
        <w:rPr>
          <w:rFonts w:ascii="Century Gothic" w:hAnsi="Century Gothic" w:cs="Arial"/>
          <w:sz w:val="18"/>
          <w:szCs w:val="18"/>
          <w:lang w:val="es-MX"/>
        </w:rPr>
        <w:t xml:space="preserve"> el </w:t>
      </w:r>
      <w:r w:rsidRPr="0081110D">
        <w:rPr>
          <w:rFonts w:ascii="Century Gothic" w:hAnsi="Century Gothic"/>
          <w:sz w:val="18"/>
          <w:szCs w:val="18"/>
          <w:lang w:val="es-MX"/>
        </w:rPr>
        <w:t>Reglamento para la Ubicación y Operación de las Estaciones de Servicio para el Municipio de Juárez, Estado de Chihuahua</w:t>
      </w:r>
      <w:r w:rsidR="00215F03" w:rsidRPr="0081110D">
        <w:rPr>
          <w:rFonts w:ascii="Century Gothic" w:eastAsia="Calibri" w:hAnsi="Century Gothic" w:cs="Calibri Light"/>
          <w:sz w:val="18"/>
          <w:szCs w:val="18"/>
          <w:lang w:val="es-MX"/>
        </w:rPr>
        <w:t xml:space="preserve">; </w:t>
      </w:r>
      <w:r w:rsidR="00EC12AA" w:rsidRPr="0081110D">
        <w:rPr>
          <w:rFonts w:ascii="Century Gothic" w:eastAsia="Calibri" w:hAnsi="Century Gothic" w:cs="Calibri Light"/>
          <w:b/>
          <w:sz w:val="18"/>
          <w:szCs w:val="18"/>
          <w:lang w:val="es-MX"/>
        </w:rPr>
        <w:t>b</w:t>
      </w:r>
      <w:r w:rsidR="001D09D0" w:rsidRPr="0081110D">
        <w:rPr>
          <w:rFonts w:ascii="Century Gothic" w:eastAsia="Calibri" w:hAnsi="Century Gothic" w:cs="Calibri Light"/>
          <w:b/>
          <w:sz w:val="18"/>
          <w:szCs w:val="18"/>
          <w:lang w:val="es-MX"/>
        </w:rPr>
        <w:t>).-</w:t>
      </w:r>
      <w:r w:rsidR="000044C3" w:rsidRPr="0081110D">
        <w:rPr>
          <w:rFonts w:ascii="Century Gothic" w:hAnsi="Century Gothic" w:cs="Tahoma"/>
          <w:sz w:val="18"/>
          <w:szCs w:val="18"/>
          <w:lang w:val="es-MX"/>
        </w:rPr>
        <w:t xml:space="preserve"> </w:t>
      </w:r>
      <w:r w:rsidR="00710945" w:rsidRPr="0081110D">
        <w:rPr>
          <w:rFonts w:ascii="Century Gothic" w:hAnsi="Century Gothic" w:cs="Arial"/>
          <w:sz w:val="18"/>
          <w:szCs w:val="18"/>
          <w:lang w:val="es-MX"/>
        </w:rPr>
        <w:t>Cintas</w:t>
      </w:r>
      <w:r w:rsidR="00710945" w:rsidRPr="0081110D">
        <w:rPr>
          <w:rFonts w:ascii="Century Gothic" w:hAnsi="Century Gothic" w:cs="Arial"/>
          <w:spacing w:val="-3"/>
          <w:sz w:val="18"/>
          <w:szCs w:val="18"/>
          <w:lang w:val="es-MX"/>
        </w:rPr>
        <w:t xml:space="preserve"> magnetofónicas y de video que contiene la grabación.</w:t>
      </w:r>
    </w:p>
    <w:p w:rsidR="00B46AEA" w:rsidRPr="0081110D" w:rsidRDefault="00B46AEA" w:rsidP="001417DA">
      <w:pPr>
        <w:tabs>
          <w:tab w:val="left" w:pos="546"/>
          <w:tab w:val="left" w:pos="4455"/>
        </w:tabs>
        <w:rPr>
          <w:rFonts w:ascii="Century Gothic" w:hAnsi="Century Gothic" w:cs="Arial"/>
          <w:spacing w:val="-3"/>
          <w:sz w:val="22"/>
          <w:szCs w:val="22"/>
        </w:rPr>
      </w:pPr>
    </w:p>
    <w:p w:rsidR="00DA2793" w:rsidRPr="0081110D" w:rsidRDefault="00DA2793" w:rsidP="001417DA">
      <w:pPr>
        <w:tabs>
          <w:tab w:val="left" w:pos="546"/>
          <w:tab w:val="left" w:pos="4455"/>
        </w:tabs>
        <w:jc w:val="center"/>
        <w:rPr>
          <w:rFonts w:ascii="Century Gothic" w:hAnsi="Century Gothic" w:cs="Arial"/>
          <w:b/>
          <w:spacing w:val="-3"/>
          <w:sz w:val="22"/>
          <w:szCs w:val="22"/>
        </w:rPr>
      </w:pPr>
    </w:p>
    <w:p w:rsidR="0058106D" w:rsidRPr="0081110D" w:rsidRDefault="009C0958" w:rsidP="001417DA">
      <w:pPr>
        <w:tabs>
          <w:tab w:val="left" w:pos="546"/>
          <w:tab w:val="left" w:pos="4455"/>
        </w:tabs>
        <w:jc w:val="center"/>
        <w:rPr>
          <w:rFonts w:ascii="Century Gothic" w:hAnsi="Century Gothic" w:cs="Arial"/>
          <w:b/>
          <w:spacing w:val="-3"/>
          <w:sz w:val="22"/>
          <w:szCs w:val="22"/>
        </w:rPr>
      </w:pPr>
      <w:r w:rsidRPr="0081110D">
        <w:rPr>
          <w:rFonts w:ascii="Century Gothic" w:hAnsi="Century Gothic" w:cs="Arial"/>
          <w:b/>
          <w:spacing w:val="-3"/>
          <w:sz w:val="22"/>
          <w:szCs w:val="22"/>
        </w:rPr>
        <w:t>REGIDOR ENCARGADO DEL DESPACHO DE LOS ASUNTOS DE LA PRESIDENCIA</w:t>
      </w:r>
    </w:p>
    <w:p w:rsidR="00C92BBC" w:rsidRPr="0081110D" w:rsidRDefault="00C92BBC" w:rsidP="001417DA">
      <w:pPr>
        <w:tabs>
          <w:tab w:val="left" w:pos="546"/>
          <w:tab w:val="left" w:pos="4455"/>
        </w:tabs>
        <w:jc w:val="center"/>
        <w:rPr>
          <w:rFonts w:ascii="Century Gothic" w:hAnsi="Century Gothic" w:cs="Arial"/>
          <w:spacing w:val="-3"/>
          <w:sz w:val="22"/>
          <w:szCs w:val="22"/>
        </w:rPr>
      </w:pPr>
    </w:p>
    <w:p w:rsidR="0058106D" w:rsidRPr="0081110D" w:rsidRDefault="0058106D" w:rsidP="001417DA">
      <w:pPr>
        <w:tabs>
          <w:tab w:val="left" w:pos="546"/>
          <w:tab w:val="left" w:pos="4455"/>
        </w:tabs>
        <w:jc w:val="center"/>
        <w:rPr>
          <w:rFonts w:ascii="Century Gothic" w:hAnsi="Century Gothic" w:cs="Arial"/>
          <w:b/>
          <w:spacing w:val="-3"/>
          <w:sz w:val="22"/>
          <w:szCs w:val="22"/>
        </w:rPr>
      </w:pPr>
      <w:r w:rsidRPr="0081110D">
        <w:rPr>
          <w:rFonts w:ascii="Century Gothic" w:hAnsi="Century Gothic" w:cs="Arial"/>
          <w:b/>
          <w:spacing w:val="-3"/>
          <w:sz w:val="22"/>
          <w:szCs w:val="22"/>
        </w:rPr>
        <w:t xml:space="preserve">C. </w:t>
      </w:r>
      <w:r w:rsidR="009C0958" w:rsidRPr="0081110D">
        <w:rPr>
          <w:rFonts w:ascii="Century Gothic" w:hAnsi="Century Gothic" w:cs="Arial"/>
          <w:b/>
          <w:spacing w:val="-3"/>
          <w:sz w:val="22"/>
          <w:szCs w:val="22"/>
        </w:rPr>
        <w:t>CARLOS PONCE TORRES</w:t>
      </w:r>
      <w:r w:rsidRPr="0081110D">
        <w:rPr>
          <w:rFonts w:ascii="Century Gothic" w:hAnsi="Century Gothic" w:cs="Arial"/>
          <w:b/>
          <w:spacing w:val="-3"/>
          <w:sz w:val="22"/>
          <w:szCs w:val="22"/>
        </w:rPr>
        <w:t xml:space="preserve"> </w:t>
      </w:r>
    </w:p>
    <w:p w:rsidR="004E1271" w:rsidRPr="0081110D" w:rsidRDefault="004E1271" w:rsidP="001417DA">
      <w:pPr>
        <w:tabs>
          <w:tab w:val="left" w:pos="546"/>
          <w:tab w:val="left" w:pos="4455"/>
        </w:tabs>
        <w:jc w:val="center"/>
        <w:rPr>
          <w:rFonts w:ascii="Century Gothic" w:hAnsi="Century Gothic" w:cs="Arial"/>
          <w:b/>
          <w:spacing w:val="-3"/>
          <w:sz w:val="22"/>
          <w:szCs w:val="22"/>
        </w:rPr>
      </w:pPr>
    </w:p>
    <w:p w:rsidR="0058106D" w:rsidRPr="0081110D" w:rsidRDefault="0058106D" w:rsidP="001417DA">
      <w:pPr>
        <w:tabs>
          <w:tab w:val="left" w:pos="546"/>
          <w:tab w:val="left" w:pos="4455"/>
        </w:tabs>
        <w:jc w:val="center"/>
        <w:rPr>
          <w:rFonts w:ascii="Century Gothic" w:hAnsi="Century Gothic" w:cs="Arial"/>
          <w:b/>
          <w:spacing w:val="-3"/>
          <w:sz w:val="22"/>
          <w:szCs w:val="22"/>
        </w:rPr>
      </w:pPr>
      <w:r w:rsidRPr="0081110D">
        <w:rPr>
          <w:rFonts w:ascii="Century Gothic" w:hAnsi="Century Gothic" w:cs="Arial"/>
          <w:b/>
          <w:sz w:val="22"/>
          <w:szCs w:val="22"/>
        </w:rPr>
        <w:t xml:space="preserve">SÍNDICA DEL HONORABLE AYUNTAMIENTO </w:t>
      </w:r>
      <w:r w:rsidRPr="0081110D">
        <w:rPr>
          <w:rFonts w:ascii="Century Gothic" w:hAnsi="Century Gothic" w:cs="Arial"/>
          <w:b/>
          <w:spacing w:val="-3"/>
          <w:sz w:val="22"/>
          <w:szCs w:val="22"/>
        </w:rPr>
        <w:t>DEL</w:t>
      </w:r>
    </w:p>
    <w:p w:rsidR="0058106D" w:rsidRPr="0081110D" w:rsidRDefault="0058106D" w:rsidP="001417DA">
      <w:pPr>
        <w:keepNext/>
        <w:keepLines/>
        <w:tabs>
          <w:tab w:val="right" w:pos="9360"/>
        </w:tabs>
        <w:jc w:val="center"/>
        <w:rPr>
          <w:rFonts w:ascii="Century Gothic" w:hAnsi="Century Gothic" w:cs="Arial"/>
          <w:b/>
          <w:spacing w:val="-3"/>
          <w:sz w:val="22"/>
          <w:szCs w:val="22"/>
        </w:rPr>
      </w:pPr>
      <w:r w:rsidRPr="0081110D">
        <w:rPr>
          <w:rFonts w:ascii="Century Gothic" w:hAnsi="Century Gothic" w:cs="Arial"/>
          <w:b/>
          <w:spacing w:val="-3"/>
          <w:sz w:val="22"/>
          <w:szCs w:val="22"/>
        </w:rPr>
        <w:t>MUNICIPIO DE JUÁREZ, ESTADO DE CHIHUAHUA</w:t>
      </w:r>
    </w:p>
    <w:p w:rsidR="00062CD7" w:rsidRPr="0081110D" w:rsidRDefault="00062CD7" w:rsidP="001417DA">
      <w:pPr>
        <w:jc w:val="both"/>
        <w:rPr>
          <w:rFonts w:ascii="Century Gothic" w:hAnsi="Century Gothic" w:cs="Arial"/>
          <w:b/>
          <w:sz w:val="22"/>
          <w:szCs w:val="22"/>
        </w:rPr>
      </w:pPr>
    </w:p>
    <w:p w:rsidR="0058106D" w:rsidRPr="0081110D" w:rsidRDefault="0058106D" w:rsidP="001417DA">
      <w:pPr>
        <w:jc w:val="center"/>
        <w:rPr>
          <w:rFonts w:ascii="Century Gothic" w:hAnsi="Century Gothic" w:cs="Arial"/>
          <w:b/>
          <w:sz w:val="22"/>
          <w:szCs w:val="22"/>
        </w:rPr>
      </w:pPr>
      <w:r w:rsidRPr="0081110D">
        <w:rPr>
          <w:rFonts w:ascii="Century Gothic" w:hAnsi="Century Gothic" w:cs="Arial"/>
          <w:b/>
          <w:sz w:val="22"/>
          <w:szCs w:val="22"/>
        </w:rPr>
        <w:t>C. LETICIA ORTEGA MÁYNEZ</w:t>
      </w:r>
    </w:p>
    <w:p w:rsidR="00062CD7" w:rsidRPr="0081110D" w:rsidRDefault="00062CD7" w:rsidP="001417DA">
      <w:pPr>
        <w:tabs>
          <w:tab w:val="left" w:pos="546"/>
          <w:tab w:val="left" w:pos="4455"/>
        </w:tabs>
        <w:jc w:val="center"/>
        <w:rPr>
          <w:rFonts w:ascii="Century Gothic" w:hAnsi="Century Gothic" w:cs="Arial"/>
          <w:b/>
          <w:spacing w:val="-3"/>
          <w:sz w:val="22"/>
          <w:szCs w:val="22"/>
        </w:rPr>
      </w:pPr>
    </w:p>
    <w:p w:rsidR="0058106D" w:rsidRPr="0081110D" w:rsidRDefault="0058106D" w:rsidP="001417DA">
      <w:pPr>
        <w:tabs>
          <w:tab w:val="left" w:pos="546"/>
          <w:tab w:val="left" w:pos="4455"/>
        </w:tabs>
        <w:jc w:val="center"/>
        <w:rPr>
          <w:rFonts w:ascii="Century Gothic" w:hAnsi="Century Gothic" w:cs="Arial"/>
          <w:b/>
          <w:spacing w:val="-3"/>
          <w:sz w:val="22"/>
          <w:szCs w:val="22"/>
        </w:rPr>
      </w:pPr>
      <w:r w:rsidRPr="0081110D">
        <w:rPr>
          <w:rFonts w:ascii="Century Gothic" w:hAnsi="Century Gothic" w:cs="Arial"/>
          <w:b/>
          <w:spacing w:val="-3"/>
          <w:sz w:val="22"/>
          <w:szCs w:val="22"/>
        </w:rPr>
        <w:t>REGIDORES DEL HONORABLE AYUNTAMIENTO DEL</w:t>
      </w:r>
    </w:p>
    <w:p w:rsidR="0058106D" w:rsidRPr="0081110D" w:rsidRDefault="0058106D" w:rsidP="001417DA">
      <w:pPr>
        <w:tabs>
          <w:tab w:val="center" w:pos="4680"/>
        </w:tabs>
        <w:jc w:val="center"/>
        <w:rPr>
          <w:rFonts w:ascii="Century Gothic" w:hAnsi="Century Gothic" w:cs="Arial"/>
          <w:b/>
          <w:spacing w:val="-3"/>
          <w:sz w:val="22"/>
          <w:szCs w:val="22"/>
        </w:rPr>
      </w:pPr>
      <w:r w:rsidRPr="0081110D">
        <w:rPr>
          <w:rFonts w:ascii="Century Gothic" w:hAnsi="Century Gothic" w:cs="Arial"/>
          <w:b/>
          <w:spacing w:val="-3"/>
          <w:sz w:val="22"/>
          <w:szCs w:val="22"/>
        </w:rPr>
        <w:t>MUNICIPIO DE JUÁREZ, ESTADO DE CHIHUAHUA</w:t>
      </w:r>
    </w:p>
    <w:p w:rsidR="0058106D" w:rsidRPr="0081110D" w:rsidRDefault="0058106D" w:rsidP="001417DA">
      <w:pPr>
        <w:tabs>
          <w:tab w:val="left" w:pos="546"/>
          <w:tab w:val="left" w:pos="4455"/>
        </w:tabs>
        <w:rPr>
          <w:rFonts w:ascii="Century Gothic" w:hAnsi="Century Gothic" w:cs="Arial"/>
          <w:b/>
          <w:spacing w:val="-3"/>
          <w:sz w:val="22"/>
          <w:szCs w:val="22"/>
        </w:rPr>
      </w:pPr>
    </w:p>
    <w:p w:rsidR="00062CD7" w:rsidRPr="0081110D" w:rsidRDefault="00062CD7" w:rsidP="001417DA">
      <w:pPr>
        <w:tabs>
          <w:tab w:val="left" w:pos="546"/>
          <w:tab w:val="left" w:pos="4455"/>
        </w:tabs>
        <w:rPr>
          <w:rFonts w:ascii="Century Gothic" w:hAnsi="Century Gothic" w:cs="Arial"/>
          <w:b/>
          <w:spacing w:val="-3"/>
          <w:sz w:val="22"/>
          <w:szCs w:val="22"/>
        </w:rPr>
      </w:pPr>
    </w:p>
    <w:p w:rsidR="00D0634B" w:rsidRPr="0081110D" w:rsidRDefault="00D0634B" w:rsidP="001417DA">
      <w:pPr>
        <w:tabs>
          <w:tab w:val="left" w:pos="546"/>
          <w:tab w:val="left" w:pos="4455"/>
        </w:tabs>
        <w:rPr>
          <w:rFonts w:ascii="Century Gothic" w:hAnsi="Century Gothic" w:cs="Arial"/>
          <w:b/>
          <w:sz w:val="22"/>
          <w:szCs w:val="22"/>
        </w:rPr>
      </w:pPr>
      <w:r w:rsidRPr="0081110D">
        <w:rPr>
          <w:rFonts w:ascii="Century Gothic" w:hAnsi="Century Gothic" w:cs="Arial"/>
          <w:b/>
          <w:bCs/>
          <w:sz w:val="22"/>
          <w:szCs w:val="22"/>
        </w:rPr>
        <w:t xml:space="preserve">C. JACQUELINE ARMENDÁRIZ MARTÍNEZ </w:t>
      </w:r>
      <w:r w:rsidRPr="0081110D">
        <w:rPr>
          <w:rFonts w:ascii="Century Gothic" w:hAnsi="Century Gothic" w:cs="Arial"/>
          <w:b/>
          <w:bCs/>
          <w:sz w:val="22"/>
          <w:szCs w:val="22"/>
        </w:rPr>
        <w:tab/>
      </w:r>
      <w:r w:rsidRPr="0081110D">
        <w:rPr>
          <w:rFonts w:ascii="Century Gothic" w:hAnsi="Century Gothic" w:cs="Arial"/>
          <w:b/>
          <w:bCs/>
          <w:sz w:val="22"/>
          <w:szCs w:val="22"/>
        </w:rPr>
        <w:tab/>
      </w:r>
      <w:r w:rsidRPr="0081110D">
        <w:rPr>
          <w:rFonts w:ascii="Century Gothic" w:hAnsi="Century Gothic" w:cs="Arial"/>
          <w:b/>
          <w:bCs/>
          <w:sz w:val="22"/>
          <w:szCs w:val="22"/>
        </w:rPr>
        <w:tab/>
        <w:t xml:space="preserve">                </w:t>
      </w:r>
      <w:r w:rsidRPr="0081110D">
        <w:rPr>
          <w:rFonts w:ascii="Century Gothic" w:hAnsi="Century Gothic" w:cs="Arial"/>
          <w:b/>
          <w:sz w:val="22"/>
          <w:szCs w:val="22"/>
        </w:rPr>
        <w:t>C. AMPARO BELTRÁN CEBALLOS</w:t>
      </w:r>
    </w:p>
    <w:p w:rsidR="00D0634B" w:rsidRPr="0081110D" w:rsidRDefault="00D0634B" w:rsidP="001417DA">
      <w:pPr>
        <w:tabs>
          <w:tab w:val="left" w:pos="546"/>
          <w:tab w:val="left" w:pos="4455"/>
        </w:tabs>
        <w:rPr>
          <w:rFonts w:ascii="Century Gothic" w:hAnsi="Century Gothic" w:cs="Arial"/>
          <w:b/>
          <w:bCs/>
          <w:sz w:val="22"/>
          <w:szCs w:val="22"/>
        </w:rPr>
      </w:pPr>
    </w:p>
    <w:p w:rsidR="00D0634B" w:rsidRPr="0081110D" w:rsidRDefault="00D0634B" w:rsidP="001417DA">
      <w:pPr>
        <w:tabs>
          <w:tab w:val="left" w:pos="546"/>
          <w:tab w:val="left" w:pos="4455"/>
        </w:tabs>
        <w:rPr>
          <w:rFonts w:ascii="Century Gothic" w:hAnsi="Century Gothic" w:cs="Arial"/>
          <w:b/>
          <w:bCs/>
          <w:sz w:val="22"/>
          <w:szCs w:val="22"/>
        </w:rPr>
      </w:pPr>
      <w:r w:rsidRPr="0081110D">
        <w:rPr>
          <w:rFonts w:ascii="Century Gothic" w:hAnsi="Century Gothic" w:cs="Arial"/>
          <w:b/>
          <w:bCs/>
          <w:sz w:val="22"/>
          <w:szCs w:val="22"/>
        </w:rPr>
        <w:t xml:space="preserve">C. </w:t>
      </w:r>
      <w:r w:rsidRPr="0081110D">
        <w:rPr>
          <w:rFonts w:ascii="Century Gothic" w:hAnsi="Century Gothic" w:cs="Arial"/>
          <w:b/>
          <w:sz w:val="22"/>
          <w:szCs w:val="22"/>
        </w:rPr>
        <w:t>OLIVIA BONILLA SOTO</w:t>
      </w:r>
      <w:r w:rsidRPr="0081110D">
        <w:rPr>
          <w:rFonts w:ascii="Century Gothic" w:hAnsi="Century Gothic" w:cs="Arial"/>
          <w:b/>
          <w:sz w:val="22"/>
          <w:szCs w:val="22"/>
        </w:rPr>
        <w:tab/>
      </w:r>
      <w:r w:rsidRPr="0081110D">
        <w:rPr>
          <w:rFonts w:ascii="Century Gothic" w:hAnsi="Century Gothic" w:cs="Arial"/>
          <w:b/>
          <w:sz w:val="22"/>
          <w:szCs w:val="22"/>
        </w:rPr>
        <w:tab/>
        <w:t xml:space="preserve">         C. PERLA PATRICIA BUSTAMANTE CORONA</w:t>
      </w:r>
    </w:p>
    <w:p w:rsidR="00D0634B" w:rsidRPr="0081110D" w:rsidRDefault="00D0634B" w:rsidP="001417DA">
      <w:pPr>
        <w:tabs>
          <w:tab w:val="left" w:pos="546"/>
          <w:tab w:val="left" w:pos="4455"/>
        </w:tabs>
        <w:rPr>
          <w:rFonts w:ascii="Century Gothic" w:hAnsi="Century Gothic" w:cs="Arial"/>
          <w:b/>
          <w:bCs/>
          <w:sz w:val="22"/>
          <w:szCs w:val="22"/>
        </w:rPr>
      </w:pPr>
    </w:p>
    <w:p w:rsidR="00D0634B" w:rsidRPr="0081110D" w:rsidRDefault="00D0634B" w:rsidP="001417DA">
      <w:pPr>
        <w:tabs>
          <w:tab w:val="left" w:pos="546"/>
          <w:tab w:val="left" w:pos="4455"/>
        </w:tabs>
        <w:rPr>
          <w:rFonts w:ascii="Century Gothic" w:hAnsi="Century Gothic" w:cs="Arial"/>
          <w:b/>
          <w:sz w:val="22"/>
          <w:szCs w:val="22"/>
        </w:rPr>
      </w:pPr>
      <w:r w:rsidRPr="0081110D">
        <w:rPr>
          <w:rFonts w:ascii="Century Gothic" w:hAnsi="Century Gothic" w:cs="Arial"/>
          <w:b/>
          <w:sz w:val="22"/>
          <w:szCs w:val="22"/>
        </w:rPr>
        <w:t>C. RENÉ CARRASCO ROJO</w:t>
      </w:r>
      <w:r w:rsidRPr="0081110D">
        <w:rPr>
          <w:rFonts w:ascii="Century Gothic" w:hAnsi="Century Gothic" w:cs="Arial"/>
          <w:b/>
          <w:sz w:val="22"/>
          <w:szCs w:val="22"/>
        </w:rPr>
        <w:tab/>
      </w:r>
      <w:r w:rsidRPr="0081110D">
        <w:rPr>
          <w:rFonts w:ascii="Century Gothic" w:hAnsi="Century Gothic" w:cs="Arial"/>
          <w:b/>
          <w:sz w:val="22"/>
          <w:szCs w:val="22"/>
        </w:rPr>
        <w:tab/>
      </w:r>
      <w:r w:rsidRPr="0081110D">
        <w:rPr>
          <w:rFonts w:ascii="Century Gothic" w:hAnsi="Century Gothic" w:cs="Arial"/>
          <w:b/>
          <w:sz w:val="22"/>
          <w:szCs w:val="22"/>
        </w:rPr>
        <w:tab/>
      </w:r>
      <w:r w:rsidRPr="0081110D">
        <w:rPr>
          <w:rFonts w:ascii="Century Gothic" w:hAnsi="Century Gothic" w:cs="Arial"/>
          <w:b/>
          <w:sz w:val="22"/>
          <w:szCs w:val="22"/>
        </w:rPr>
        <w:tab/>
        <w:t xml:space="preserve">    </w:t>
      </w:r>
      <w:r w:rsidR="00EC12AA" w:rsidRPr="0081110D">
        <w:rPr>
          <w:rFonts w:ascii="Century Gothic" w:hAnsi="Century Gothic" w:cs="Arial"/>
          <w:b/>
          <w:sz w:val="22"/>
          <w:szCs w:val="22"/>
        </w:rPr>
        <w:t xml:space="preserve">  C. LUZ ELENA ESQUIVEL SÁENZ</w:t>
      </w:r>
    </w:p>
    <w:p w:rsidR="00D0634B" w:rsidRPr="0081110D" w:rsidRDefault="00D0634B" w:rsidP="001417DA">
      <w:pPr>
        <w:tabs>
          <w:tab w:val="left" w:pos="546"/>
          <w:tab w:val="left" w:pos="4455"/>
        </w:tabs>
        <w:rPr>
          <w:rFonts w:ascii="Century Gothic" w:hAnsi="Century Gothic" w:cs="Arial"/>
          <w:b/>
          <w:sz w:val="22"/>
          <w:szCs w:val="22"/>
        </w:rPr>
      </w:pPr>
    </w:p>
    <w:p w:rsidR="00D0634B" w:rsidRPr="0081110D" w:rsidRDefault="00D0634B" w:rsidP="001417DA">
      <w:pPr>
        <w:tabs>
          <w:tab w:val="left" w:pos="546"/>
          <w:tab w:val="left" w:pos="4455"/>
        </w:tabs>
        <w:rPr>
          <w:rFonts w:ascii="Century Gothic" w:hAnsi="Century Gothic" w:cs="Arial"/>
          <w:b/>
          <w:sz w:val="22"/>
          <w:szCs w:val="22"/>
        </w:rPr>
      </w:pPr>
      <w:r w:rsidRPr="0081110D">
        <w:rPr>
          <w:rFonts w:ascii="Century Gothic" w:hAnsi="Century Gothic" w:cs="Arial"/>
          <w:b/>
          <w:sz w:val="22"/>
          <w:szCs w:val="22"/>
        </w:rPr>
        <w:t>C. ÓSCAR ARTURO GALLEGOS GONZÁLEZ</w:t>
      </w:r>
      <w:r w:rsidR="00EC12AA" w:rsidRPr="0081110D">
        <w:rPr>
          <w:rFonts w:ascii="Century Gothic" w:hAnsi="Century Gothic" w:cs="Arial"/>
          <w:b/>
          <w:sz w:val="22"/>
          <w:szCs w:val="22"/>
        </w:rPr>
        <w:tab/>
      </w:r>
      <w:r w:rsidR="00EC12AA" w:rsidRPr="0081110D">
        <w:rPr>
          <w:rFonts w:ascii="Century Gothic" w:hAnsi="Century Gothic" w:cs="Arial"/>
          <w:b/>
          <w:sz w:val="22"/>
          <w:szCs w:val="22"/>
        </w:rPr>
        <w:tab/>
      </w:r>
      <w:r w:rsidR="00EC12AA" w:rsidRPr="0081110D">
        <w:rPr>
          <w:rFonts w:ascii="Century Gothic" w:hAnsi="Century Gothic" w:cs="Arial"/>
          <w:b/>
          <w:sz w:val="22"/>
          <w:szCs w:val="22"/>
        </w:rPr>
        <w:tab/>
        <w:t xml:space="preserve">     C. MÓNICA PATRICIA MENDOZA RÍOS</w:t>
      </w:r>
    </w:p>
    <w:p w:rsidR="00D0634B" w:rsidRPr="0081110D" w:rsidRDefault="00D0634B" w:rsidP="001417DA">
      <w:pPr>
        <w:tabs>
          <w:tab w:val="left" w:pos="546"/>
          <w:tab w:val="left" w:pos="4455"/>
        </w:tabs>
        <w:rPr>
          <w:rFonts w:ascii="Century Gothic" w:hAnsi="Century Gothic" w:cs="Arial"/>
          <w:b/>
          <w:sz w:val="22"/>
          <w:szCs w:val="22"/>
        </w:rPr>
      </w:pPr>
    </w:p>
    <w:p w:rsidR="00D0634B" w:rsidRPr="0081110D" w:rsidRDefault="00D0634B" w:rsidP="001417DA">
      <w:pPr>
        <w:tabs>
          <w:tab w:val="left" w:pos="546"/>
          <w:tab w:val="left" w:pos="4455"/>
        </w:tabs>
        <w:rPr>
          <w:rFonts w:ascii="Century Gothic" w:hAnsi="Century Gothic" w:cs="Arial"/>
          <w:b/>
          <w:bCs/>
          <w:sz w:val="22"/>
          <w:szCs w:val="22"/>
        </w:rPr>
      </w:pPr>
      <w:r w:rsidRPr="0081110D">
        <w:rPr>
          <w:rFonts w:ascii="Century Gothic" w:hAnsi="Century Gothic" w:cs="Arial"/>
          <w:b/>
          <w:bCs/>
          <w:sz w:val="22"/>
          <w:szCs w:val="22"/>
        </w:rPr>
        <w:t>C. JUANA REYES ESPEJO</w:t>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t xml:space="preserve">        C. MARTHA LETICIA REYES MARTÍNEZ</w:t>
      </w:r>
    </w:p>
    <w:p w:rsidR="00D0634B" w:rsidRPr="0081110D" w:rsidRDefault="00D0634B" w:rsidP="001417DA">
      <w:pPr>
        <w:tabs>
          <w:tab w:val="left" w:pos="546"/>
          <w:tab w:val="left" w:pos="4455"/>
        </w:tabs>
        <w:rPr>
          <w:rFonts w:ascii="Century Gothic" w:hAnsi="Century Gothic" w:cs="Arial"/>
          <w:b/>
          <w:bCs/>
          <w:sz w:val="22"/>
          <w:szCs w:val="22"/>
        </w:rPr>
      </w:pPr>
    </w:p>
    <w:p w:rsidR="00D0634B" w:rsidRPr="0081110D" w:rsidRDefault="00D0634B" w:rsidP="001417DA">
      <w:pPr>
        <w:tabs>
          <w:tab w:val="left" w:pos="546"/>
          <w:tab w:val="left" w:pos="4455"/>
        </w:tabs>
        <w:rPr>
          <w:rFonts w:ascii="Century Gothic" w:hAnsi="Century Gothic" w:cs="Arial"/>
          <w:b/>
          <w:bCs/>
          <w:sz w:val="22"/>
          <w:szCs w:val="22"/>
        </w:rPr>
      </w:pPr>
      <w:r w:rsidRPr="0081110D">
        <w:rPr>
          <w:rFonts w:ascii="Century Gothic" w:hAnsi="Century Gothic" w:cs="Arial"/>
          <w:b/>
          <w:bCs/>
          <w:sz w:val="22"/>
          <w:szCs w:val="22"/>
        </w:rPr>
        <w:t>C. LAURA YANELY RODRÍGUEZ MIRELES</w:t>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t xml:space="preserve">        </w:t>
      </w:r>
      <w:r w:rsidR="009C0958" w:rsidRPr="0081110D">
        <w:rPr>
          <w:rFonts w:ascii="Century Gothic" w:hAnsi="Century Gothic" w:cs="Arial"/>
          <w:b/>
          <w:sz w:val="22"/>
          <w:szCs w:val="22"/>
        </w:rPr>
        <w:t>C. SILVIA SÁNCHEZ MÁRQUEZ</w:t>
      </w:r>
    </w:p>
    <w:p w:rsidR="00D0634B" w:rsidRPr="0081110D" w:rsidRDefault="00D0634B" w:rsidP="001417DA">
      <w:pPr>
        <w:tabs>
          <w:tab w:val="left" w:pos="546"/>
          <w:tab w:val="left" w:pos="4455"/>
        </w:tabs>
        <w:rPr>
          <w:rFonts w:ascii="Century Gothic" w:hAnsi="Century Gothic" w:cs="Arial"/>
          <w:b/>
          <w:sz w:val="22"/>
          <w:szCs w:val="22"/>
        </w:rPr>
      </w:pPr>
    </w:p>
    <w:p w:rsidR="00D0634B" w:rsidRPr="0081110D" w:rsidRDefault="00D0634B" w:rsidP="001417DA">
      <w:pPr>
        <w:tabs>
          <w:tab w:val="left" w:pos="546"/>
          <w:tab w:val="left" w:pos="4455"/>
        </w:tabs>
        <w:rPr>
          <w:rFonts w:ascii="Century Gothic" w:hAnsi="Century Gothic" w:cs="Arial"/>
          <w:b/>
          <w:bCs/>
          <w:sz w:val="22"/>
          <w:szCs w:val="22"/>
        </w:rPr>
      </w:pPr>
      <w:r w:rsidRPr="0081110D">
        <w:rPr>
          <w:rFonts w:ascii="Century Gothic" w:hAnsi="Century Gothic" w:cs="Arial"/>
          <w:b/>
          <w:bCs/>
          <w:sz w:val="22"/>
          <w:szCs w:val="22"/>
        </w:rPr>
        <w:t>C. ALFREDO SEÁÑEZ NÁJERA</w:t>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t xml:space="preserve">        </w:t>
      </w:r>
      <w:r w:rsidR="009C0958" w:rsidRPr="0081110D">
        <w:rPr>
          <w:rFonts w:ascii="Century Gothic" w:hAnsi="Century Gothic" w:cs="Arial"/>
          <w:b/>
          <w:sz w:val="22"/>
          <w:szCs w:val="22"/>
        </w:rPr>
        <w:t>C. MAGDALENO SILVA LÓPEZ</w:t>
      </w:r>
    </w:p>
    <w:p w:rsidR="00D0634B" w:rsidRPr="0081110D" w:rsidRDefault="00D0634B" w:rsidP="001417DA">
      <w:pPr>
        <w:tabs>
          <w:tab w:val="left" w:pos="546"/>
          <w:tab w:val="left" w:pos="4455"/>
        </w:tabs>
        <w:rPr>
          <w:rFonts w:ascii="Century Gothic" w:hAnsi="Century Gothic" w:cs="Arial"/>
          <w:b/>
          <w:sz w:val="22"/>
          <w:szCs w:val="22"/>
        </w:rPr>
      </w:pPr>
    </w:p>
    <w:p w:rsidR="00D0634B" w:rsidRPr="0081110D" w:rsidRDefault="00D0634B" w:rsidP="001417DA">
      <w:pPr>
        <w:tabs>
          <w:tab w:val="left" w:pos="546"/>
          <w:tab w:val="left" w:pos="4455"/>
        </w:tabs>
        <w:rPr>
          <w:rFonts w:ascii="Century Gothic" w:hAnsi="Century Gothic" w:cs="Arial"/>
          <w:b/>
          <w:bCs/>
          <w:sz w:val="22"/>
          <w:szCs w:val="22"/>
        </w:rPr>
      </w:pPr>
      <w:r w:rsidRPr="0081110D">
        <w:rPr>
          <w:rFonts w:ascii="Century Gothic" w:hAnsi="Century Gothic" w:cs="Arial"/>
          <w:b/>
          <w:bCs/>
          <w:sz w:val="22"/>
          <w:szCs w:val="22"/>
        </w:rPr>
        <w:t>C. JOSÉ UBALDO SOLÍS</w:t>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r>
      <w:r w:rsidR="009C0958" w:rsidRPr="0081110D">
        <w:rPr>
          <w:rFonts w:ascii="Century Gothic" w:hAnsi="Century Gothic" w:cs="Arial"/>
          <w:b/>
          <w:bCs/>
          <w:sz w:val="22"/>
          <w:szCs w:val="22"/>
        </w:rPr>
        <w:tab/>
        <w:t xml:space="preserve">        </w:t>
      </w:r>
      <w:r w:rsidR="009C0958" w:rsidRPr="0081110D">
        <w:rPr>
          <w:rFonts w:ascii="Century Gothic" w:hAnsi="Century Gothic" w:cs="Arial"/>
          <w:b/>
          <w:sz w:val="22"/>
          <w:szCs w:val="22"/>
        </w:rPr>
        <w:t>C. ENRIQUE TORRES VALADEZ</w:t>
      </w:r>
    </w:p>
    <w:p w:rsidR="00D0634B" w:rsidRPr="0081110D" w:rsidRDefault="00D0634B" w:rsidP="001417DA">
      <w:pPr>
        <w:tabs>
          <w:tab w:val="left" w:pos="546"/>
          <w:tab w:val="left" w:pos="4455"/>
        </w:tabs>
        <w:rPr>
          <w:rFonts w:ascii="Century Gothic" w:hAnsi="Century Gothic" w:cs="Arial"/>
          <w:b/>
          <w:sz w:val="22"/>
          <w:szCs w:val="22"/>
        </w:rPr>
      </w:pPr>
    </w:p>
    <w:p w:rsidR="0058106D" w:rsidRPr="0081110D" w:rsidRDefault="0058106D" w:rsidP="001417DA">
      <w:pPr>
        <w:tabs>
          <w:tab w:val="left" w:pos="546"/>
          <w:tab w:val="left" w:pos="4455"/>
        </w:tabs>
        <w:jc w:val="center"/>
        <w:rPr>
          <w:rFonts w:ascii="Century Gothic" w:hAnsi="Century Gothic" w:cs="Arial"/>
          <w:b/>
          <w:spacing w:val="-3"/>
          <w:sz w:val="22"/>
          <w:szCs w:val="22"/>
        </w:rPr>
      </w:pPr>
      <w:r w:rsidRPr="0081110D">
        <w:rPr>
          <w:rFonts w:ascii="Century Gothic" w:hAnsi="Century Gothic" w:cs="Arial"/>
          <w:b/>
          <w:spacing w:val="-3"/>
          <w:sz w:val="22"/>
          <w:szCs w:val="22"/>
        </w:rPr>
        <w:t>----------------------------------------------DOY FE--------------------------------------------------</w:t>
      </w:r>
    </w:p>
    <w:p w:rsidR="00614133" w:rsidRPr="0081110D" w:rsidRDefault="00614133" w:rsidP="001417DA">
      <w:pPr>
        <w:tabs>
          <w:tab w:val="center" w:pos="4680"/>
        </w:tabs>
        <w:jc w:val="center"/>
        <w:rPr>
          <w:rFonts w:ascii="Century Gothic" w:hAnsi="Century Gothic" w:cs="Arial"/>
          <w:b/>
          <w:spacing w:val="-3"/>
          <w:sz w:val="22"/>
          <w:szCs w:val="22"/>
        </w:rPr>
      </w:pPr>
    </w:p>
    <w:p w:rsidR="0058106D" w:rsidRPr="0081110D" w:rsidRDefault="0058106D" w:rsidP="001417DA">
      <w:pPr>
        <w:tabs>
          <w:tab w:val="center" w:pos="4680"/>
        </w:tabs>
        <w:jc w:val="center"/>
        <w:rPr>
          <w:rFonts w:ascii="Century Gothic" w:hAnsi="Century Gothic" w:cs="Arial"/>
          <w:b/>
          <w:spacing w:val="-3"/>
          <w:sz w:val="22"/>
          <w:szCs w:val="22"/>
        </w:rPr>
      </w:pPr>
      <w:r w:rsidRPr="0081110D">
        <w:rPr>
          <w:rFonts w:ascii="Century Gothic" w:hAnsi="Century Gothic" w:cs="Arial"/>
          <w:b/>
          <w:spacing w:val="-3"/>
          <w:sz w:val="22"/>
          <w:szCs w:val="22"/>
        </w:rPr>
        <w:t>SECRETARIO DE LA PRESIDENCIA MUNICIPAL</w:t>
      </w:r>
    </w:p>
    <w:p w:rsidR="004E1271" w:rsidRPr="0081110D" w:rsidRDefault="0058106D" w:rsidP="001417DA">
      <w:pPr>
        <w:tabs>
          <w:tab w:val="center" w:pos="4680"/>
        </w:tabs>
        <w:jc w:val="center"/>
        <w:rPr>
          <w:rFonts w:ascii="Century Gothic" w:hAnsi="Century Gothic" w:cs="Arial"/>
          <w:b/>
          <w:spacing w:val="-3"/>
          <w:sz w:val="22"/>
          <w:szCs w:val="22"/>
        </w:rPr>
      </w:pPr>
      <w:r w:rsidRPr="0081110D">
        <w:rPr>
          <w:rFonts w:ascii="Century Gothic" w:hAnsi="Century Gothic" w:cs="Arial"/>
          <w:b/>
          <w:spacing w:val="-3"/>
          <w:sz w:val="22"/>
          <w:szCs w:val="22"/>
        </w:rPr>
        <w:t xml:space="preserve">Y DEL HONORABLE AYUNTAMIENTO </w:t>
      </w:r>
    </w:p>
    <w:p w:rsidR="00062CD7" w:rsidRPr="0081110D" w:rsidRDefault="00062CD7" w:rsidP="001417DA">
      <w:pPr>
        <w:tabs>
          <w:tab w:val="center" w:pos="4680"/>
        </w:tabs>
        <w:jc w:val="center"/>
        <w:rPr>
          <w:rFonts w:ascii="Century Gothic" w:hAnsi="Century Gothic" w:cs="Arial"/>
          <w:b/>
          <w:spacing w:val="-3"/>
          <w:sz w:val="22"/>
          <w:szCs w:val="22"/>
        </w:rPr>
      </w:pPr>
    </w:p>
    <w:p w:rsidR="006B24D3" w:rsidRPr="0081110D" w:rsidRDefault="006B24D3" w:rsidP="001417DA">
      <w:pPr>
        <w:tabs>
          <w:tab w:val="center" w:pos="4680"/>
        </w:tabs>
        <w:jc w:val="center"/>
        <w:rPr>
          <w:rFonts w:ascii="Century Gothic" w:hAnsi="Century Gothic" w:cs="Arial"/>
          <w:b/>
          <w:spacing w:val="-3"/>
          <w:sz w:val="22"/>
          <w:szCs w:val="22"/>
        </w:rPr>
      </w:pPr>
    </w:p>
    <w:p w:rsidR="00B4622A" w:rsidRPr="0081110D" w:rsidRDefault="0058106D" w:rsidP="001417DA">
      <w:pPr>
        <w:tabs>
          <w:tab w:val="left" w:pos="546"/>
          <w:tab w:val="left" w:pos="4455"/>
        </w:tabs>
        <w:jc w:val="center"/>
        <w:rPr>
          <w:rFonts w:ascii="Century Gothic" w:hAnsi="Century Gothic" w:cs="Arial"/>
          <w:b/>
          <w:spacing w:val="-3"/>
          <w:sz w:val="22"/>
          <w:szCs w:val="22"/>
        </w:rPr>
      </w:pPr>
      <w:r w:rsidRPr="0081110D">
        <w:rPr>
          <w:rFonts w:ascii="Century Gothic" w:hAnsi="Century Gothic" w:cs="Arial"/>
          <w:b/>
          <w:spacing w:val="-3"/>
          <w:sz w:val="22"/>
          <w:szCs w:val="22"/>
        </w:rPr>
        <w:t xml:space="preserve">LICENCIADO MACLOVIO MURILLO CHÁVEZ </w:t>
      </w:r>
    </w:p>
    <w:sectPr w:rsidR="00B4622A" w:rsidRPr="0081110D" w:rsidSect="003A329B">
      <w:headerReference w:type="default" r:id="rId8"/>
      <w:footerReference w:type="even" r:id="rId9"/>
      <w:footerReference w:type="default" r:id="rId10"/>
      <w:pgSz w:w="12240" w:h="20160" w:code="5"/>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C4" w:rsidRDefault="00C71EC4">
      <w:r>
        <w:separator/>
      </w:r>
    </w:p>
  </w:endnote>
  <w:endnote w:type="continuationSeparator" w:id="0">
    <w:p w:rsidR="00C71EC4" w:rsidRDefault="00C7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Default="009109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093E" w:rsidRDefault="009109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Pr="00C16C83" w:rsidRDefault="0091093E">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AD2C87" w:rsidRPr="00AD2C87">
      <w:rPr>
        <w:rFonts w:ascii="Century Gothic" w:hAnsi="Century Gothic"/>
        <w:noProof/>
        <w:sz w:val="18"/>
        <w:szCs w:val="18"/>
        <w:lang w:val="es-ES"/>
      </w:rPr>
      <w:t>2</w:t>
    </w:r>
    <w:r w:rsidRPr="00C16C83">
      <w:rPr>
        <w:rFonts w:ascii="Century Gothic" w:hAnsi="Century Gothic"/>
        <w:sz w:val="18"/>
        <w:szCs w:val="18"/>
      </w:rPr>
      <w:fldChar w:fldCharType="end"/>
    </w:r>
  </w:p>
  <w:p w:rsidR="0091093E" w:rsidRDefault="0091093E"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C4" w:rsidRDefault="00C71EC4">
      <w:r>
        <w:separator/>
      </w:r>
    </w:p>
  </w:footnote>
  <w:footnote w:type="continuationSeparator" w:id="0">
    <w:p w:rsidR="00C71EC4" w:rsidRDefault="00C71E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E" w:rsidRDefault="003A329B" w:rsidP="00F97841">
    <w:pPr>
      <w:spacing w:line="360" w:lineRule="auto"/>
      <w:jc w:val="both"/>
      <w:rPr>
        <w:sz w:val="10"/>
      </w:rPr>
    </w:pPr>
    <w:r>
      <w:rPr>
        <w:noProof/>
        <w:lang w:eastAsia="es-MX"/>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093E" w:rsidRDefault="0091093E">
                          <w:pPr>
                            <w:tabs>
                              <w:tab w:val="center" w:pos="4680"/>
                              <w:tab w:val="right" w:pos="9360"/>
                            </w:tabs>
                            <w:rPr>
                              <w:spacing w:val="-3"/>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rsidR="0091093E" w:rsidRDefault="0091093E">
                    <w:pPr>
                      <w:tabs>
                        <w:tab w:val="center" w:pos="4680"/>
                        <w:tab w:val="right" w:pos="9360"/>
                      </w:tabs>
                      <w:rPr>
                        <w:spacing w:val="-3"/>
                      </w:rPr>
                    </w:pPr>
                    <w:r>
                      <w:tab/>
                    </w:r>
                    <w:r>
                      <w:tab/>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344"/>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7A7D19"/>
    <w:multiLevelType w:val="hybridMultilevel"/>
    <w:tmpl w:val="19A40FF6"/>
    <w:lvl w:ilvl="0" w:tplc="7B68B5D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493BF8"/>
    <w:multiLevelType w:val="hybridMultilevel"/>
    <w:tmpl w:val="9954D1DA"/>
    <w:lvl w:ilvl="0" w:tplc="22683D46">
      <w:start w:val="1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13DF5"/>
    <w:multiLevelType w:val="hybridMultilevel"/>
    <w:tmpl w:val="59929CE6"/>
    <w:lvl w:ilvl="0" w:tplc="B57864AA">
      <w:start w:val="1"/>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4" w15:restartNumberingAfterBreak="0">
    <w:nsid w:val="04F13DEF"/>
    <w:multiLevelType w:val="hybridMultilevel"/>
    <w:tmpl w:val="9EDCDB3E"/>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C2174C"/>
    <w:multiLevelType w:val="hybridMultilevel"/>
    <w:tmpl w:val="B6B27D4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A5D7A"/>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61239E"/>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471CA3"/>
    <w:multiLevelType w:val="hybridMultilevel"/>
    <w:tmpl w:val="266207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0179C0"/>
    <w:multiLevelType w:val="hybridMultilevel"/>
    <w:tmpl w:val="1B7A68A6"/>
    <w:lvl w:ilvl="0" w:tplc="72A6E8FE">
      <w:start w:val="7"/>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0A47C9"/>
    <w:multiLevelType w:val="hybridMultilevel"/>
    <w:tmpl w:val="3A2E7034"/>
    <w:lvl w:ilvl="0" w:tplc="19E82C2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1E537A"/>
    <w:multiLevelType w:val="hybridMultilevel"/>
    <w:tmpl w:val="69541B10"/>
    <w:lvl w:ilvl="0" w:tplc="6B22928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A6335FA"/>
    <w:multiLevelType w:val="hybridMultilevel"/>
    <w:tmpl w:val="E174E40A"/>
    <w:lvl w:ilvl="0" w:tplc="5680FBE4">
      <w:start w:val="3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172BB"/>
    <w:multiLevelType w:val="hybridMultilevel"/>
    <w:tmpl w:val="718EB3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62476A"/>
    <w:multiLevelType w:val="hybridMultilevel"/>
    <w:tmpl w:val="E8EAEE5A"/>
    <w:lvl w:ilvl="0" w:tplc="85940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87A16"/>
    <w:multiLevelType w:val="hybridMultilevel"/>
    <w:tmpl w:val="F6641CB0"/>
    <w:lvl w:ilvl="0" w:tplc="872E954C">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D73A29"/>
    <w:multiLevelType w:val="hybridMultilevel"/>
    <w:tmpl w:val="0DAA8D10"/>
    <w:lvl w:ilvl="0" w:tplc="A0BAAC9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F2023"/>
    <w:multiLevelType w:val="hybridMultilevel"/>
    <w:tmpl w:val="3FD68264"/>
    <w:lvl w:ilvl="0" w:tplc="19E82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315A4D"/>
    <w:multiLevelType w:val="hybridMultilevel"/>
    <w:tmpl w:val="29E8F5F0"/>
    <w:lvl w:ilvl="0" w:tplc="7134611E">
      <w:start w:val="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23568"/>
    <w:multiLevelType w:val="hybridMultilevel"/>
    <w:tmpl w:val="11184D70"/>
    <w:lvl w:ilvl="0" w:tplc="7592E07A">
      <w:start w:val="8"/>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77BD5"/>
    <w:multiLevelType w:val="hybridMultilevel"/>
    <w:tmpl w:val="CBC4A2B2"/>
    <w:lvl w:ilvl="0" w:tplc="D0DAF6EA">
      <w:start w:val="19"/>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4DC6421"/>
    <w:multiLevelType w:val="hybridMultilevel"/>
    <w:tmpl w:val="66B0023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312F0B"/>
    <w:multiLevelType w:val="hybridMultilevel"/>
    <w:tmpl w:val="8FA09A4E"/>
    <w:lvl w:ilvl="0" w:tplc="EDB6000E">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5965AB5"/>
    <w:multiLevelType w:val="hybridMultilevel"/>
    <w:tmpl w:val="437A32C2"/>
    <w:lvl w:ilvl="0" w:tplc="D4A2E462">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946DF3"/>
    <w:multiLevelType w:val="hybridMultilevel"/>
    <w:tmpl w:val="31341568"/>
    <w:lvl w:ilvl="0" w:tplc="DC181BA0">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A132B4"/>
    <w:multiLevelType w:val="hybridMultilevel"/>
    <w:tmpl w:val="DE9C9BC2"/>
    <w:lvl w:ilvl="0" w:tplc="6B8448D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036E92"/>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8A2303D"/>
    <w:multiLevelType w:val="hybridMultilevel"/>
    <w:tmpl w:val="68785356"/>
    <w:lvl w:ilvl="0" w:tplc="A72CC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AA97035"/>
    <w:multiLevelType w:val="hybridMultilevel"/>
    <w:tmpl w:val="CBD434D6"/>
    <w:lvl w:ilvl="0" w:tplc="9DB262A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F72778"/>
    <w:multiLevelType w:val="hybridMultilevel"/>
    <w:tmpl w:val="D310BE9C"/>
    <w:lvl w:ilvl="0" w:tplc="476EC708">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C0E7725"/>
    <w:multiLevelType w:val="hybridMultilevel"/>
    <w:tmpl w:val="22C08394"/>
    <w:lvl w:ilvl="0" w:tplc="B96E49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660977"/>
    <w:multiLevelType w:val="hybridMultilevel"/>
    <w:tmpl w:val="A5B6AB10"/>
    <w:lvl w:ilvl="0" w:tplc="5F607A02">
      <w:start w:val="4"/>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783CB4"/>
    <w:multiLevelType w:val="hybridMultilevel"/>
    <w:tmpl w:val="93800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EDF762D"/>
    <w:multiLevelType w:val="hybridMultilevel"/>
    <w:tmpl w:val="406CD1DA"/>
    <w:lvl w:ilvl="0" w:tplc="30EC24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021415"/>
    <w:multiLevelType w:val="hybridMultilevel"/>
    <w:tmpl w:val="2C283F94"/>
    <w:lvl w:ilvl="0" w:tplc="6CB60FE0">
      <w:start w:val="7"/>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03959A6"/>
    <w:multiLevelType w:val="hybridMultilevel"/>
    <w:tmpl w:val="1718718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07A16A1"/>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09E004A"/>
    <w:multiLevelType w:val="hybridMultilevel"/>
    <w:tmpl w:val="65C47216"/>
    <w:lvl w:ilvl="0" w:tplc="868C192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27E6BD5"/>
    <w:multiLevelType w:val="hybridMultilevel"/>
    <w:tmpl w:val="32F2B6B2"/>
    <w:lvl w:ilvl="0" w:tplc="B1C6AE90">
      <w:start w:val="9"/>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30A64A9"/>
    <w:multiLevelType w:val="hybridMultilevel"/>
    <w:tmpl w:val="FD74FF14"/>
    <w:lvl w:ilvl="0" w:tplc="B606BB2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519598E"/>
    <w:multiLevelType w:val="hybridMultilevel"/>
    <w:tmpl w:val="AE0ED0E0"/>
    <w:lvl w:ilvl="0" w:tplc="16865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6C93060"/>
    <w:multiLevelType w:val="hybridMultilevel"/>
    <w:tmpl w:val="93721258"/>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A764AC"/>
    <w:multiLevelType w:val="hybridMultilevel"/>
    <w:tmpl w:val="AE8EF066"/>
    <w:lvl w:ilvl="0" w:tplc="0994D4DA">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8476E6B"/>
    <w:multiLevelType w:val="hybridMultilevel"/>
    <w:tmpl w:val="81A401AE"/>
    <w:lvl w:ilvl="0" w:tplc="F18873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5D0B09"/>
    <w:multiLevelType w:val="hybridMultilevel"/>
    <w:tmpl w:val="B04267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BDF46D3"/>
    <w:multiLevelType w:val="hybridMultilevel"/>
    <w:tmpl w:val="F5742D82"/>
    <w:lvl w:ilvl="0" w:tplc="7988D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C6A2C10"/>
    <w:multiLevelType w:val="hybridMultilevel"/>
    <w:tmpl w:val="4F98CFFA"/>
    <w:lvl w:ilvl="0" w:tplc="D67AAEF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DF4C83"/>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48" w15:restartNumberingAfterBreak="0">
    <w:nsid w:val="30F13A69"/>
    <w:multiLevelType w:val="hybridMultilevel"/>
    <w:tmpl w:val="297830E2"/>
    <w:lvl w:ilvl="0" w:tplc="2FFEAF2A">
      <w:start w:val="10"/>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5909CB"/>
    <w:multiLevelType w:val="hybridMultilevel"/>
    <w:tmpl w:val="E1AAEE26"/>
    <w:lvl w:ilvl="0" w:tplc="B1F6AF7A">
      <w:start w:val="1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3A50DAF"/>
    <w:multiLevelType w:val="hybridMultilevel"/>
    <w:tmpl w:val="526A1170"/>
    <w:lvl w:ilvl="0" w:tplc="101A13BC">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50A7F9B"/>
    <w:multiLevelType w:val="hybridMultilevel"/>
    <w:tmpl w:val="60400B66"/>
    <w:lvl w:ilvl="0" w:tplc="2618C252">
      <w:start w:val="6"/>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6F004D"/>
    <w:multiLevelType w:val="hybridMultilevel"/>
    <w:tmpl w:val="277882B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8C052E5"/>
    <w:multiLevelType w:val="hybridMultilevel"/>
    <w:tmpl w:val="C7C6694A"/>
    <w:lvl w:ilvl="0" w:tplc="E8DA909E">
      <w:start w:val="4"/>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9601ED"/>
    <w:multiLevelType w:val="hybridMultilevel"/>
    <w:tmpl w:val="CC94C8CA"/>
    <w:lvl w:ilvl="0" w:tplc="2618C252">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9D9703A"/>
    <w:multiLevelType w:val="hybridMultilevel"/>
    <w:tmpl w:val="C10ED280"/>
    <w:lvl w:ilvl="0" w:tplc="8464959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B835DF0"/>
    <w:multiLevelType w:val="hybridMultilevel"/>
    <w:tmpl w:val="147898CE"/>
    <w:lvl w:ilvl="0" w:tplc="16865B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BF01EAE"/>
    <w:multiLevelType w:val="hybridMultilevel"/>
    <w:tmpl w:val="FEFCACB6"/>
    <w:lvl w:ilvl="0" w:tplc="63947BC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C472E49"/>
    <w:multiLevelType w:val="hybridMultilevel"/>
    <w:tmpl w:val="B830B9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CA65AAF"/>
    <w:multiLevelType w:val="hybridMultilevel"/>
    <w:tmpl w:val="48EAB5BE"/>
    <w:lvl w:ilvl="0" w:tplc="8464959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DD12F30"/>
    <w:multiLevelType w:val="hybridMultilevel"/>
    <w:tmpl w:val="DD6AEFDC"/>
    <w:lvl w:ilvl="0" w:tplc="C590C82A">
      <w:start w:val="1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E9A47CB"/>
    <w:multiLevelType w:val="hybridMultilevel"/>
    <w:tmpl w:val="F170EB76"/>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EB619B3"/>
    <w:multiLevelType w:val="hybridMultilevel"/>
    <w:tmpl w:val="4D66A12E"/>
    <w:lvl w:ilvl="0" w:tplc="F000F340">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F4925C7"/>
    <w:multiLevelType w:val="hybridMultilevel"/>
    <w:tmpl w:val="F4AA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14E16D5"/>
    <w:multiLevelType w:val="hybridMultilevel"/>
    <w:tmpl w:val="344CBB2E"/>
    <w:lvl w:ilvl="0" w:tplc="1632F26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455415B"/>
    <w:multiLevelType w:val="hybridMultilevel"/>
    <w:tmpl w:val="58622B12"/>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67"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8" w15:restartNumberingAfterBreak="0">
    <w:nsid w:val="4C912D96"/>
    <w:multiLevelType w:val="hybridMultilevel"/>
    <w:tmpl w:val="D362158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EAC530D"/>
    <w:multiLevelType w:val="hybridMultilevel"/>
    <w:tmpl w:val="A276226E"/>
    <w:lvl w:ilvl="0" w:tplc="B290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0562E33"/>
    <w:multiLevelType w:val="hybridMultilevel"/>
    <w:tmpl w:val="4664F72A"/>
    <w:lvl w:ilvl="0" w:tplc="84AE6C8C">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12241A0"/>
    <w:multiLevelType w:val="hybridMultilevel"/>
    <w:tmpl w:val="ACA6E0C0"/>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1B83A09"/>
    <w:multiLevelType w:val="hybridMultilevel"/>
    <w:tmpl w:val="30045700"/>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35777A5"/>
    <w:multiLevelType w:val="hybridMultilevel"/>
    <w:tmpl w:val="8F60CBB6"/>
    <w:lvl w:ilvl="0" w:tplc="9F923518">
      <w:start w:val="1"/>
      <w:numFmt w:val="lowerLetter"/>
      <w:lvlText w:val="%1)"/>
      <w:lvlJc w:val="left"/>
      <w:pPr>
        <w:ind w:left="750" w:hanging="39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4C964A8"/>
    <w:multiLevelType w:val="hybridMultilevel"/>
    <w:tmpl w:val="C57CA8EC"/>
    <w:lvl w:ilvl="0" w:tplc="8464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52B0D7D"/>
    <w:multiLevelType w:val="hybridMultilevel"/>
    <w:tmpl w:val="399EAE02"/>
    <w:lvl w:ilvl="0" w:tplc="55400BF2">
      <w:start w:val="4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5975242"/>
    <w:multiLevelType w:val="hybridMultilevel"/>
    <w:tmpl w:val="FEA6C7E0"/>
    <w:lvl w:ilvl="0" w:tplc="BDA27D1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5DF2284"/>
    <w:multiLevelType w:val="hybridMultilevel"/>
    <w:tmpl w:val="B7000E78"/>
    <w:lvl w:ilvl="0" w:tplc="3B06C100">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6A77BDE"/>
    <w:multiLevelType w:val="hybridMultilevel"/>
    <w:tmpl w:val="395E542A"/>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79" w15:restartNumberingAfterBreak="0">
    <w:nsid w:val="56C22949"/>
    <w:multiLevelType w:val="hybridMultilevel"/>
    <w:tmpl w:val="3E165792"/>
    <w:lvl w:ilvl="0" w:tplc="E8B29AB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6FA7CA5"/>
    <w:multiLevelType w:val="hybridMultilevel"/>
    <w:tmpl w:val="B8484CCE"/>
    <w:lvl w:ilvl="0" w:tplc="872E95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9282372"/>
    <w:multiLevelType w:val="hybridMultilevel"/>
    <w:tmpl w:val="064E5F0A"/>
    <w:lvl w:ilvl="0" w:tplc="D1E4A27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95F508F"/>
    <w:multiLevelType w:val="hybridMultilevel"/>
    <w:tmpl w:val="93FC992A"/>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9D03C8F"/>
    <w:multiLevelType w:val="hybridMultilevel"/>
    <w:tmpl w:val="317CEBD2"/>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BCD0B00"/>
    <w:multiLevelType w:val="hybridMultilevel"/>
    <w:tmpl w:val="80FCC0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D0D0981"/>
    <w:multiLevelType w:val="hybridMultilevel"/>
    <w:tmpl w:val="B0D438F0"/>
    <w:lvl w:ilvl="0" w:tplc="E56CE6D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F8C5ADA"/>
    <w:multiLevelType w:val="hybridMultilevel"/>
    <w:tmpl w:val="27DA1CD6"/>
    <w:lvl w:ilvl="0" w:tplc="D7381518">
      <w:start w:val="4"/>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FC14670"/>
    <w:multiLevelType w:val="hybridMultilevel"/>
    <w:tmpl w:val="9D6A69A8"/>
    <w:lvl w:ilvl="0" w:tplc="A5FA003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8" w15:restartNumberingAfterBreak="0">
    <w:nsid w:val="628977BA"/>
    <w:multiLevelType w:val="hybridMultilevel"/>
    <w:tmpl w:val="35D45D6C"/>
    <w:lvl w:ilvl="0" w:tplc="C49C41A8">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33D6FA9"/>
    <w:multiLevelType w:val="hybridMultilevel"/>
    <w:tmpl w:val="FD425B12"/>
    <w:lvl w:ilvl="0" w:tplc="BC98C860">
      <w:start w:val="3"/>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3D5330E"/>
    <w:multiLevelType w:val="hybridMultilevel"/>
    <w:tmpl w:val="144298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63F31DBE"/>
    <w:multiLevelType w:val="hybridMultilevel"/>
    <w:tmpl w:val="E06647CC"/>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4671203"/>
    <w:multiLevelType w:val="hybridMultilevel"/>
    <w:tmpl w:val="49EC61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5059FD"/>
    <w:multiLevelType w:val="hybridMultilevel"/>
    <w:tmpl w:val="F09AD76C"/>
    <w:lvl w:ilvl="0" w:tplc="C34CEE36">
      <w:start w:val="1"/>
      <w:numFmt w:val="lowerLetter"/>
      <w:lvlText w:val="%1)"/>
      <w:lvlJc w:val="left"/>
      <w:pPr>
        <w:ind w:left="928" w:hanging="360"/>
      </w:pPr>
      <w:rPr>
        <w:rFonts w:hint="default"/>
        <w:b/>
        <w:sz w:val="22"/>
        <w:szCs w:val="22"/>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94" w15:restartNumberingAfterBreak="0">
    <w:nsid w:val="6D441C13"/>
    <w:multiLevelType w:val="hybridMultilevel"/>
    <w:tmpl w:val="F3F0BF90"/>
    <w:lvl w:ilvl="0" w:tplc="3D789C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D523EB4"/>
    <w:multiLevelType w:val="hybridMultilevel"/>
    <w:tmpl w:val="663C8328"/>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DCA1EB4"/>
    <w:multiLevelType w:val="hybridMultilevel"/>
    <w:tmpl w:val="0F8EFD74"/>
    <w:lvl w:ilvl="0" w:tplc="E270976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E464880"/>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98" w15:restartNumberingAfterBreak="0">
    <w:nsid w:val="6FB24429"/>
    <w:multiLevelType w:val="hybridMultilevel"/>
    <w:tmpl w:val="18D28912"/>
    <w:lvl w:ilvl="0" w:tplc="6CDEEC90">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0B175A1"/>
    <w:multiLevelType w:val="hybridMultilevel"/>
    <w:tmpl w:val="CCDCB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1174B2E"/>
    <w:multiLevelType w:val="hybridMultilevel"/>
    <w:tmpl w:val="D4DECB28"/>
    <w:lvl w:ilvl="0" w:tplc="247646C2">
      <w:start w:val="3"/>
      <w:numFmt w:val="upperRoman"/>
      <w:lvlText w:val="%1."/>
      <w:lvlJc w:val="right"/>
      <w:pPr>
        <w:ind w:left="928"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2BC6BF1"/>
    <w:multiLevelType w:val="hybridMultilevel"/>
    <w:tmpl w:val="3450666A"/>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4C863BE"/>
    <w:multiLevelType w:val="hybridMultilevel"/>
    <w:tmpl w:val="E1B47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7D92333"/>
    <w:multiLevelType w:val="hybridMultilevel"/>
    <w:tmpl w:val="7C0AFC76"/>
    <w:lvl w:ilvl="0" w:tplc="EBC0BE1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B955A4B"/>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BA716C6"/>
    <w:multiLevelType w:val="hybridMultilevel"/>
    <w:tmpl w:val="D1C02BD0"/>
    <w:lvl w:ilvl="0" w:tplc="1078093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BEC5F0A"/>
    <w:multiLevelType w:val="hybridMultilevel"/>
    <w:tmpl w:val="BAD8634E"/>
    <w:lvl w:ilvl="0" w:tplc="3D789C42">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E0316B7"/>
    <w:multiLevelType w:val="hybridMultilevel"/>
    <w:tmpl w:val="4B42A828"/>
    <w:lvl w:ilvl="0" w:tplc="23142D0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7F900140"/>
    <w:multiLevelType w:val="hybridMultilevel"/>
    <w:tmpl w:val="53E62E30"/>
    <w:lvl w:ilvl="0" w:tplc="A72CC09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num>
  <w:num w:numId="4">
    <w:abstractNumId w:val="3"/>
  </w:num>
  <w:num w:numId="5">
    <w:abstractNumId w:val="31"/>
  </w:num>
  <w:num w:numId="6">
    <w:abstractNumId w:val="20"/>
  </w:num>
  <w:num w:numId="7">
    <w:abstractNumId w:val="75"/>
  </w:num>
  <w:num w:numId="8">
    <w:abstractNumId w:val="66"/>
  </w:num>
  <w:num w:numId="9">
    <w:abstractNumId w:val="77"/>
  </w:num>
  <w:num w:numId="10">
    <w:abstractNumId w:val="34"/>
  </w:num>
  <w:num w:numId="11">
    <w:abstractNumId w:val="48"/>
  </w:num>
  <w:num w:numId="12">
    <w:abstractNumId w:val="73"/>
  </w:num>
  <w:num w:numId="13">
    <w:abstractNumId w:val="78"/>
  </w:num>
  <w:num w:numId="14">
    <w:abstractNumId w:val="11"/>
  </w:num>
  <w:num w:numId="15">
    <w:abstractNumId w:val="47"/>
  </w:num>
  <w:num w:numId="16">
    <w:abstractNumId w:val="28"/>
  </w:num>
  <w:num w:numId="17">
    <w:abstractNumId w:val="97"/>
  </w:num>
  <w:num w:numId="18">
    <w:abstractNumId w:val="50"/>
  </w:num>
  <w:num w:numId="19">
    <w:abstractNumId w:val="38"/>
  </w:num>
  <w:num w:numId="20">
    <w:abstractNumId w:val="79"/>
  </w:num>
  <w:num w:numId="21">
    <w:abstractNumId w:val="89"/>
  </w:num>
  <w:num w:numId="22">
    <w:abstractNumId w:val="49"/>
  </w:num>
  <w:num w:numId="23">
    <w:abstractNumId w:val="32"/>
  </w:num>
  <w:num w:numId="24">
    <w:abstractNumId w:val="2"/>
  </w:num>
  <w:num w:numId="25">
    <w:abstractNumId w:val="44"/>
  </w:num>
  <w:num w:numId="26">
    <w:abstractNumId w:val="19"/>
  </w:num>
  <w:num w:numId="27">
    <w:abstractNumId w:val="45"/>
  </w:num>
  <w:num w:numId="28">
    <w:abstractNumId w:val="107"/>
  </w:num>
  <w:num w:numId="29">
    <w:abstractNumId w:val="0"/>
  </w:num>
  <w:num w:numId="30">
    <w:abstractNumId w:val="96"/>
  </w:num>
  <w:num w:numId="31">
    <w:abstractNumId w:val="42"/>
  </w:num>
  <w:num w:numId="32">
    <w:abstractNumId w:val="26"/>
  </w:num>
  <w:num w:numId="33">
    <w:abstractNumId w:val="8"/>
  </w:num>
  <w:num w:numId="34">
    <w:abstractNumId w:val="6"/>
  </w:num>
  <w:num w:numId="35">
    <w:abstractNumId w:val="104"/>
  </w:num>
  <w:num w:numId="36">
    <w:abstractNumId w:val="101"/>
  </w:num>
  <w:num w:numId="37">
    <w:abstractNumId w:val="36"/>
  </w:num>
  <w:num w:numId="38">
    <w:abstractNumId w:val="7"/>
  </w:num>
  <w:num w:numId="39">
    <w:abstractNumId w:val="65"/>
  </w:num>
  <w:num w:numId="40">
    <w:abstractNumId w:val="76"/>
  </w:num>
  <w:num w:numId="41">
    <w:abstractNumId w:val="69"/>
  </w:num>
  <w:num w:numId="42">
    <w:abstractNumId w:val="98"/>
  </w:num>
  <w:num w:numId="43">
    <w:abstractNumId w:val="30"/>
  </w:num>
  <w:num w:numId="44">
    <w:abstractNumId w:val="92"/>
  </w:num>
  <w:num w:numId="45">
    <w:abstractNumId w:val="14"/>
  </w:num>
  <w:num w:numId="46">
    <w:abstractNumId w:val="88"/>
  </w:num>
  <w:num w:numId="47">
    <w:abstractNumId w:val="86"/>
  </w:num>
  <w:num w:numId="48">
    <w:abstractNumId w:val="70"/>
  </w:num>
  <w:num w:numId="49">
    <w:abstractNumId w:val="9"/>
  </w:num>
  <w:num w:numId="50">
    <w:abstractNumId w:val="5"/>
  </w:num>
  <w:num w:numId="51">
    <w:abstractNumId w:val="63"/>
  </w:num>
  <w:num w:numId="52">
    <w:abstractNumId w:val="68"/>
  </w:num>
  <w:num w:numId="53">
    <w:abstractNumId w:val="83"/>
  </w:num>
  <w:num w:numId="54">
    <w:abstractNumId w:val="91"/>
  </w:num>
  <w:num w:numId="55">
    <w:abstractNumId w:val="41"/>
  </w:num>
  <w:num w:numId="56">
    <w:abstractNumId w:val="53"/>
  </w:num>
  <w:num w:numId="57">
    <w:abstractNumId w:val="57"/>
  </w:num>
  <w:num w:numId="58">
    <w:abstractNumId w:val="40"/>
  </w:num>
  <w:num w:numId="59">
    <w:abstractNumId w:val="25"/>
  </w:num>
  <w:num w:numId="60">
    <w:abstractNumId w:val="4"/>
  </w:num>
  <w:num w:numId="61">
    <w:abstractNumId w:val="72"/>
  </w:num>
  <w:num w:numId="62">
    <w:abstractNumId w:val="81"/>
  </w:num>
  <w:num w:numId="63">
    <w:abstractNumId w:val="108"/>
  </w:num>
  <w:num w:numId="64">
    <w:abstractNumId w:val="27"/>
  </w:num>
  <w:num w:numId="65">
    <w:abstractNumId w:val="60"/>
  </w:num>
  <w:num w:numId="66">
    <w:abstractNumId w:val="56"/>
  </w:num>
  <w:num w:numId="67">
    <w:abstractNumId w:val="74"/>
  </w:num>
  <w:num w:numId="68">
    <w:abstractNumId w:val="37"/>
  </w:num>
  <w:num w:numId="69">
    <w:abstractNumId w:val="24"/>
  </w:num>
  <w:num w:numId="70">
    <w:abstractNumId w:val="51"/>
  </w:num>
  <w:num w:numId="71">
    <w:abstractNumId w:val="55"/>
  </w:num>
  <w:num w:numId="72">
    <w:abstractNumId w:val="54"/>
  </w:num>
  <w:num w:numId="73">
    <w:abstractNumId w:val="21"/>
  </w:num>
  <w:num w:numId="74">
    <w:abstractNumId w:val="35"/>
  </w:num>
  <w:num w:numId="75">
    <w:abstractNumId w:val="1"/>
  </w:num>
  <w:num w:numId="76">
    <w:abstractNumId w:val="106"/>
  </w:num>
  <w:num w:numId="77">
    <w:abstractNumId w:val="94"/>
  </w:num>
  <w:num w:numId="78">
    <w:abstractNumId w:val="10"/>
  </w:num>
  <w:num w:numId="79">
    <w:abstractNumId w:val="17"/>
  </w:num>
  <w:num w:numId="80">
    <w:abstractNumId w:val="105"/>
  </w:num>
  <w:num w:numId="81">
    <w:abstractNumId w:val="23"/>
  </w:num>
  <w:num w:numId="82">
    <w:abstractNumId w:val="15"/>
  </w:num>
  <w:num w:numId="83">
    <w:abstractNumId w:val="87"/>
  </w:num>
  <w:num w:numId="84">
    <w:abstractNumId w:val="80"/>
  </w:num>
  <w:num w:numId="85">
    <w:abstractNumId w:val="16"/>
  </w:num>
  <w:num w:numId="86">
    <w:abstractNumId w:val="12"/>
  </w:num>
  <w:num w:numId="87">
    <w:abstractNumId w:val="29"/>
  </w:num>
  <w:num w:numId="88">
    <w:abstractNumId w:val="43"/>
  </w:num>
  <w:num w:numId="89">
    <w:abstractNumId w:val="93"/>
  </w:num>
  <w:num w:numId="90">
    <w:abstractNumId w:val="39"/>
  </w:num>
  <w:num w:numId="91">
    <w:abstractNumId w:val="18"/>
  </w:num>
  <w:num w:numId="92">
    <w:abstractNumId w:val="84"/>
  </w:num>
  <w:num w:numId="93">
    <w:abstractNumId w:val="13"/>
  </w:num>
  <w:num w:numId="94">
    <w:abstractNumId w:val="46"/>
  </w:num>
  <w:num w:numId="95">
    <w:abstractNumId w:val="61"/>
  </w:num>
  <w:num w:numId="96">
    <w:abstractNumId w:val="102"/>
  </w:num>
  <w:num w:numId="97">
    <w:abstractNumId w:val="100"/>
  </w:num>
  <w:num w:numId="98">
    <w:abstractNumId w:val="62"/>
  </w:num>
  <w:num w:numId="99">
    <w:abstractNumId w:val="71"/>
  </w:num>
  <w:num w:numId="100">
    <w:abstractNumId w:val="95"/>
  </w:num>
  <w:num w:numId="101">
    <w:abstractNumId w:val="82"/>
  </w:num>
  <w:num w:numId="102">
    <w:abstractNumId w:val="59"/>
  </w:num>
  <w:num w:numId="103">
    <w:abstractNumId w:val="85"/>
  </w:num>
  <w:num w:numId="104">
    <w:abstractNumId w:val="103"/>
  </w:num>
  <w:num w:numId="1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num>
  <w:num w:numId="1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num>
  <w:num w:numId="109">
    <w:abstractNumId w:val="22"/>
  </w:num>
  <w:num w:numId="110">
    <w:abstractNumId w:val="6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0AB5"/>
    <w:rsid w:val="000918A4"/>
    <w:rsid w:val="000918DF"/>
    <w:rsid w:val="00091C46"/>
    <w:rsid w:val="00093583"/>
    <w:rsid w:val="00094323"/>
    <w:rsid w:val="00095582"/>
    <w:rsid w:val="00096611"/>
    <w:rsid w:val="000A1E0F"/>
    <w:rsid w:val="000A5028"/>
    <w:rsid w:val="000A56BE"/>
    <w:rsid w:val="000B05BD"/>
    <w:rsid w:val="000B0A8D"/>
    <w:rsid w:val="000B0AA7"/>
    <w:rsid w:val="000B0CAB"/>
    <w:rsid w:val="000B1616"/>
    <w:rsid w:val="000B29FA"/>
    <w:rsid w:val="000B324E"/>
    <w:rsid w:val="000B3A6A"/>
    <w:rsid w:val="000B3B2D"/>
    <w:rsid w:val="000B43CD"/>
    <w:rsid w:val="000B6A26"/>
    <w:rsid w:val="000C1ED3"/>
    <w:rsid w:val="000C4026"/>
    <w:rsid w:val="000C410D"/>
    <w:rsid w:val="000C566C"/>
    <w:rsid w:val="000C6B21"/>
    <w:rsid w:val="000C79E4"/>
    <w:rsid w:val="000C7D59"/>
    <w:rsid w:val="000D053A"/>
    <w:rsid w:val="000D059D"/>
    <w:rsid w:val="000D1065"/>
    <w:rsid w:val="000D187D"/>
    <w:rsid w:val="000D1CDD"/>
    <w:rsid w:val="000D3582"/>
    <w:rsid w:val="000D6F94"/>
    <w:rsid w:val="000D7FEE"/>
    <w:rsid w:val="000E3C5A"/>
    <w:rsid w:val="000E46F6"/>
    <w:rsid w:val="000E6361"/>
    <w:rsid w:val="000E6CF7"/>
    <w:rsid w:val="000F1DCF"/>
    <w:rsid w:val="000F251A"/>
    <w:rsid w:val="000F3305"/>
    <w:rsid w:val="000F4A8A"/>
    <w:rsid w:val="000F519B"/>
    <w:rsid w:val="000F52A5"/>
    <w:rsid w:val="000F5926"/>
    <w:rsid w:val="000F644D"/>
    <w:rsid w:val="000F72A0"/>
    <w:rsid w:val="000F7A8E"/>
    <w:rsid w:val="00101127"/>
    <w:rsid w:val="001024F9"/>
    <w:rsid w:val="0010394A"/>
    <w:rsid w:val="00105802"/>
    <w:rsid w:val="00107488"/>
    <w:rsid w:val="0010766A"/>
    <w:rsid w:val="001114FD"/>
    <w:rsid w:val="001126F0"/>
    <w:rsid w:val="00116D09"/>
    <w:rsid w:val="00121678"/>
    <w:rsid w:val="001216D0"/>
    <w:rsid w:val="00125561"/>
    <w:rsid w:val="00126312"/>
    <w:rsid w:val="0012645F"/>
    <w:rsid w:val="00126C7B"/>
    <w:rsid w:val="001271A0"/>
    <w:rsid w:val="00127467"/>
    <w:rsid w:val="0013005D"/>
    <w:rsid w:val="00130741"/>
    <w:rsid w:val="0013085B"/>
    <w:rsid w:val="00130E73"/>
    <w:rsid w:val="00132C13"/>
    <w:rsid w:val="00133F3D"/>
    <w:rsid w:val="00135AED"/>
    <w:rsid w:val="0013723D"/>
    <w:rsid w:val="001376AB"/>
    <w:rsid w:val="001417DA"/>
    <w:rsid w:val="00142715"/>
    <w:rsid w:val="001433BA"/>
    <w:rsid w:val="00144374"/>
    <w:rsid w:val="001473F5"/>
    <w:rsid w:val="00151B35"/>
    <w:rsid w:val="00155486"/>
    <w:rsid w:val="0015572E"/>
    <w:rsid w:val="0015635F"/>
    <w:rsid w:val="00157DEE"/>
    <w:rsid w:val="001600B0"/>
    <w:rsid w:val="0016327B"/>
    <w:rsid w:val="00163AA3"/>
    <w:rsid w:val="00166473"/>
    <w:rsid w:val="0016733B"/>
    <w:rsid w:val="00167A8A"/>
    <w:rsid w:val="001716D9"/>
    <w:rsid w:val="00176B36"/>
    <w:rsid w:val="00177438"/>
    <w:rsid w:val="00177D58"/>
    <w:rsid w:val="00181A40"/>
    <w:rsid w:val="001823E8"/>
    <w:rsid w:val="00185AAD"/>
    <w:rsid w:val="0018662C"/>
    <w:rsid w:val="00187111"/>
    <w:rsid w:val="00187D88"/>
    <w:rsid w:val="00190708"/>
    <w:rsid w:val="00193552"/>
    <w:rsid w:val="0019396E"/>
    <w:rsid w:val="00193FCA"/>
    <w:rsid w:val="001946CF"/>
    <w:rsid w:val="001952F9"/>
    <w:rsid w:val="001962B3"/>
    <w:rsid w:val="00197EEF"/>
    <w:rsid w:val="001A019F"/>
    <w:rsid w:val="001A07DC"/>
    <w:rsid w:val="001A0A4A"/>
    <w:rsid w:val="001A1919"/>
    <w:rsid w:val="001A2D8C"/>
    <w:rsid w:val="001A34D4"/>
    <w:rsid w:val="001A4EAA"/>
    <w:rsid w:val="001A62CF"/>
    <w:rsid w:val="001B0206"/>
    <w:rsid w:val="001B4D13"/>
    <w:rsid w:val="001B5C27"/>
    <w:rsid w:val="001C1DF9"/>
    <w:rsid w:val="001C3402"/>
    <w:rsid w:val="001C55FC"/>
    <w:rsid w:val="001C64D5"/>
    <w:rsid w:val="001C6841"/>
    <w:rsid w:val="001C7587"/>
    <w:rsid w:val="001D0305"/>
    <w:rsid w:val="001D09D0"/>
    <w:rsid w:val="001D2599"/>
    <w:rsid w:val="001D6F86"/>
    <w:rsid w:val="001D7ADD"/>
    <w:rsid w:val="001E14E0"/>
    <w:rsid w:val="001E1787"/>
    <w:rsid w:val="001E195D"/>
    <w:rsid w:val="001E2203"/>
    <w:rsid w:val="001E36FB"/>
    <w:rsid w:val="001E44DD"/>
    <w:rsid w:val="001E666A"/>
    <w:rsid w:val="001E6B5C"/>
    <w:rsid w:val="001E70DF"/>
    <w:rsid w:val="001E73BC"/>
    <w:rsid w:val="001F3980"/>
    <w:rsid w:val="001F3C9A"/>
    <w:rsid w:val="001F5410"/>
    <w:rsid w:val="001F6C2B"/>
    <w:rsid w:val="001F6F11"/>
    <w:rsid w:val="00202DB7"/>
    <w:rsid w:val="0020416A"/>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55D1"/>
    <w:rsid w:val="00227598"/>
    <w:rsid w:val="00230405"/>
    <w:rsid w:val="00230B4D"/>
    <w:rsid w:val="002315CC"/>
    <w:rsid w:val="00232121"/>
    <w:rsid w:val="00232AB9"/>
    <w:rsid w:val="00234359"/>
    <w:rsid w:val="002343DC"/>
    <w:rsid w:val="00235543"/>
    <w:rsid w:val="00235699"/>
    <w:rsid w:val="0023648E"/>
    <w:rsid w:val="0024071F"/>
    <w:rsid w:val="002417A0"/>
    <w:rsid w:val="00242A31"/>
    <w:rsid w:val="00243A8E"/>
    <w:rsid w:val="00244167"/>
    <w:rsid w:val="00244A3D"/>
    <w:rsid w:val="00245914"/>
    <w:rsid w:val="00247DBA"/>
    <w:rsid w:val="00254480"/>
    <w:rsid w:val="00261772"/>
    <w:rsid w:val="00262EA6"/>
    <w:rsid w:val="00264E0B"/>
    <w:rsid w:val="002658A2"/>
    <w:rsid w:val="0026624E"/>
    <w:rsid w:val="002672D8"/>
    <w:rsid w:val="00267927"/>
    <w:rsid w:val="002721CA"/>
    <w:rsid w:val="002805A4"/>
    <w:rsid w:val="002818B2"/>
    <w:rsid w:val="00283AC3"/>
    <w:rsid w:val="00286039"/>
    <w:rsid w:val="00286518"/>
    <w:rsid w:val="00290D91"/>
    <w:rsid w:val="0029177B"/>
    <w:rsid w:val="002A1958"/>
    <w:rsid w:val="002A1A3F"/>
    <w:rsid w:val="002A4B20"/>
    <w:rsid w:val="002A65B6"/>
    <w:rsid w:val="002A75A0"/>
    <w:rsid w:val="002B05F7"/>
    <w:rsid w:val="002B1965"/>
    <w:rsid w:val="002B324E"/>
    <w:rsid w:val="002B4FAA"/>
    <w:rsid w:val="002B59E0"/>
    <w:rsid w:val="002B5D0A"/>
    <w:rsid w:val="002B6E35"/>
    <w:rsid w:val="002B781D"/>
    <w:rsid w:val="002B7DFB"/>
    <w:rsid w:val="002C00AD"/>
    <w:rsid w:val="002C176E"/>
    <w:rsid w:val="002C2030"/>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42CD"/>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680A"/>
    <w:rsid w:val="00337F9F"/>
    <w:rsid w:val="00343020"/>
    <w:rsid w:val="0034468C"/>
    <w:rsid w:val="003515A1"/>
    <w:rsid w:val="003520C4"/>
    <w:rsid w:val="003527A8"/>
    <w:rsid w:val="00352D18"/>
    <w:rsid w:val="00352E1F"/>
    <w:rsid w:val="00353FEB"/>
    <w:rsid w:val="00354ECA"/>
    <w:rsid w:val="003553D6"/>
    <w:rsid w:val="003568F3"/>
    <w:rsid w:val="00356FF6"/>
    <w:rsid w:val="00361863"/>
    <w:rsid w:val="00363B37"/>
    <w:rsid w:val="00366569"/>
    <w:rsid w:val="00370DAA"/>
    <w:rsid w:val="00371F35"/>
    <w:rsid w:val="00372218"/>
    <w:rsid w:val="00374318"/>
    <w:rsid w:val="003749CD"/>
    <w:rsid w:val="00374FF3"/>
    <w:rsid w:val="003750C4"/>
    <w:rsid w:val="003754B4"/>
    <w:rsid w:val="00375FAB"/>
    <w:rsid w:val="00377018"/>
    <w:rsid w:val="003803E3"/>
    <w:rsid w:val="00380593"/>
    <w:rsid w:val="00380943"/>
    <w:rsid w:val="00382343"/>
    <w:rsid w:val="003828D2"/>
    <w:rsid w:val="0038376C"/>
    <w:rsid w:val="0038382C"/>
    <w:rsid w:val="00383945"/>
    <w:rsid w:val="00383C9A"/>
    <w:rsid w:val="00385D63"/>
    <w:rsid w:val="00387DFC"/>
    <w:rsid w:val="00393864"/>
    <w:rsid w:val="00394679"/>
    <w:rsid w:val="00394943"/>
    <w:rsid w:val="003967B7"/>
    <w:rsid w:val="003A08F4"/>
    <w:rsid w:val="003A0F68"/>
    <w:rsid w:val="003A329B"/>
    <w:rsid w:val="003B0B34"/>
    <w:rsid w:val="003B17ED"/>
    <w:rsid w:val="003B28F9"/>
    <w:rsid w:val="003B4B28"/>
    <w:rsid w:val="003B658A"/>
    <w:rsid w:val="003B6C91"/>
    <w:rsid w:val="003B75EA"/>
    <w:rsid w:val="003C030A"/>
    <w:rsid w:val="003C0998"/>
    <w:rsid w:val="003C1142"/>
    <w:rsid w:val="003D025C"/>
    <w:rsid w:val="003D0E79"/>
    <w:rsid w:val="003D0FB0"/>
    <w:rsid w:val="003D247F"/>
    <w:rsid w:val="003D5B6C"/>
    <w:rsid w:val="003E027C"/>
    <w:rsid w:val="003E0A3E"/>
    <w:rsid w:val="003E0B4C"/>
    <w:rsid w:val="003E4691"/>
    <w:rsid w:val="003F0853"/>
    <w:rsid w:val="003F1045"/>
    <w:rsid w:val="003F2F06"/>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D4D"/>
    <w:rsid w:val="00424CD8"/>
    <w:rsid w:val="00424E32"/>
    <w:rsid w:val="00426413"/>
    <w:rsid w:val="004268CB"/>
    <w:rsid w:val="0042750B"/>
    <w:rsid w:val="00430819"/>
    <w:rsid w:val="00430ED2"/>
    <w:rsid w:val="004333E6"/>
    <w:rsid w:val="00433F06"/>
    <w:rsid w:val="004354E2"/>
    <w:rsid w:val="0044295E"/>
    <w:rsid w:val="004450F5"/>
    <w:rsid w:val="00446A4F"/>
    <w:rsid w:val="00447070"/>
    <w:rsid w:val="004507C4"/>
    <w:rsid w:val="00452284"/>
    <w:rsid w:val="00453FF3"/>
    <w:rsid w:val="00456EB9"/>
    <w:rsid w:val="0046127C"/>
    <w:rsid w:val="00462237"/>
    <w:rsid w:val="004633C7"/>
    <w:rsid w:val="00463B26"/>
    <w:rsid w:val="00464742"/>
    <w:rsid w:val="00465AE3"/>
    <w:rsid w:val="00465EDA"/>
    <w:rsid w:val="00465F6D"/>
    <w:rsid w:val="00467856"/>
    <w:rsid w:val="00471C5E"/>
    <w:rsid w:val="0047435A"/>
    <w:rsid w:val="00475A9A"/>
    <w:rsid w:val="00475D2F"/>
    <w:rsid w:val="00477C00"/>
    <w:rsid w:val="00477D06"/>
    <w:rsid w:val="004800B3"/>
    <w:rsid w:val="00480EEC"/>
    <w:rsid w:val="0048146E"/>
    <w:rsid w:val="00481D92"/>
    <w:rsid w:val="004829F2"/>
    <w:rsid w:val="00486203"/>
    <w:rsid w:val="00487A1A"/>
    <w:rsid w:val="00490E39"/>
    <w:rsid w:val="00491D18"/>
    <w:rsid w:val="00492A62"/>
    <w:rsid w:val="0049343E"/>
    <w:rsid w:val="00493521"/>
    <w:rsid w:val="00494888"/>
    <w:rsid w:val="00494923"/>
    <w:rsid w:val="00495E3C"/>
    <w:rsid w:val="00496286"/>
    <w:rsid w:val="004A2091"/>
    <w:rsid w:val="004A323E"/>
    <w:rsid w:val="004A37D7"/>
    <w:rsid w:val="004A4C40"/>
    <w:rsid w:val="004A5BC6"/>
    <w:rsid w:val="004A7870"/>
    <w:rsid w:val="004A78DB"/>
    <w:rsid w:val="004B226F"/>
    <w:rsid w:val="004B346F"/>
    <w:rsid w:val="004B3884"/>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7366"/>
    <w:rsid w:val="00577CA2"/>
    <w:rsid w:val="0058014A"/>
    <w:rsid w:val="00580892"/>
    <w:rsid w:val="0058106D"/>
    <w:rsid w:val="00581201"/>
    <w:rsid w:val="00581783"/>
    <w:rsid w:val="00583830"/>
    <w:rsid w:val="0058576F"/>
    <w:rsid w:val="00585896"/>
    <w:rsid w:val="00590668"/>
    <w:rsid w:val="00590829"/>
    <w:rsid w:val="00590CDF"/>
    <w:rsid w:val="0059207E"/>
    <w:rsid w:val="00593169"/>
    <w:rsid w:val="005936F3"/>
    <w:rsid w:val="0059375F"/>
    <w:rsid w:val="00594BFE"/>
    <w:rsid w:val="00594F6D"/>
    <w:rsid w:val="005960A6"/>
    <w:rsid w:val="0059763C"/>
    <w:rsid w:val="005A4ADF"/>
    <w:rsid w:val="005B0808"/>
    <w:rsid w:val="005B381C"/>
    <w:rsid w:val="005B43EB"/>
    <w:rsid w:val="005B44B3"/>
    <w:rsid w:val="005B5E00"/>
    <w:rsid w:val="005C1357"/>
    <w:rsid w:val="005C14B9"/>
    <w:rsid w:val="005C581C"/>
    <w:rsid w:val="005C6192"/>
    <w:rsid w:val="005D0E02"/>
    <w:rsid w:val="005D21E7"/>
    <w:rsid w:val="005D22D6"/>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5736"/>
    <w:rsid w:val="005F5CA3"/>
    <w:rsid w:val="005F6BAA"/>
    <w:rsid w:val="006000EC"/>
    <w:rsid w:val="00602DE8"/>
    <w:rsid w:val="006048DC"/>
    <w:rsid w:val="006054A8"/>
    <w:rsid w:val="00610137"/>
    <w:rsid w:val="0061108A"/>
    <w:rsid w:val="006116D0"/>
    <w:rsid w:val="00613A9A"/>
    <w:rsid w:val="00614133"/>
    <w:rsid w:val="00616C9B"/>
    <w:rsid w:val="006178AF"/>
    <w:rsid w:val="00624AF7"/>
    <w:rsid w:val="00624B8F"/>
    <w:rsid w:val="006251B7"/>
    <w:rsid w:val="0062628E"/>
    <w:rsid w:val="00626293"/>
    <w:rsid w:val="0062760D"/>
    <w:rsid w:val="006278E5"/>
    <w:rsid w:val="00630729"/>
    <w:rsid w:val="006326E0"/>
    <w:rsid w:val="00634DB8"/>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3F5"/>
    <w:rsid w:val="0067244B"/>
    <w:rsid w:val="00672705"/>
    <w:rsid w:val="00672D9A"/>
    <w:rsid w:val="0067408E"/>
    <w:rsid w:val="00676D45"/>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7E8F"/>
    <w:rsid w:val="006C04AE"/>
    <w:rsid w:val="006C0BBA"/>
    <w:rsid w:val="006C2F8F"/>
    <w:rsid w:val="006C6CEA"/>
    <w:rsid w:val="006C7A9F"/>
    <w:rsid w:val="006C7DB0"/>
    <w:rsid w:val="006D08E6"/>
    <w:rsid w:val="006D4E10"/>
    <w:rsid w:val="006D4FC8"/>
    <w:rsid w:val="006D5082"/>
    <w:rsid w:val="006D5C6A"/>
    <w:rsid w:val="006D7BD7"/>
    <w:rsid w:val="006E182D"/>
    <w:rsid w:val="006E1C4A"/>
    <w:rsid w:val="006E2F40"/>
    <w:rsid w:val="006E44C1"/>
    <w:rsid w:val="006E630B"/>
    <w:rsid w:val="006E7E4E"/>
    <w:rsid w:val="006F0E37"/>
    <w:rsid w:val="006F34C5"/>
    <w:rsid w:val="006F5874"/>
    <w:rsid w:val="006F76E0"/>
    <w:rsid w:val="00702C08"/>
    <w:rsid w:val="00702FB7"/>
    <w:rsid w:val="00703840"/>
    <w:rsid w:val="00710945"/>
    <w:rsid w:val="00712161"/>
    <w:rsid w:val="0071240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3FF3"/>
    <w:rsid w:val="0078576E"/>
    <w:rsid w:val="0078665A"/>
    <w:rsid w:val="0078764E"/>
    <w:rsid w:val="0079122C"/>
    <w:rsid w:val="00791F77"/>
    <w:rsid w:val="00792703"/>
    <w:rsid w:val="00794B17"/>
    <w:rsid w:val="007A1A8D"/>
    <w:rsid w:val="007A3891"/>
    <w:rsid w:val="007A4F83"/>
    <w:rsid w:val="007A5067"/>
    <w:rsid w:val="007A66A3"/>
    <w:rsid w:val="007B007D"/>
    <w:rsid w:val="007B381D"/>
    <w:rsid w:val="007B4736"/>
    <w:rsid w:val="007B4A4A"/>
    <w:rsid w:val="007B5213"/>
    <w:rsid w:val="007B5EC9"/>
    <w:rsid w:val="007B61C8"/>
    <w:rsid w:val="007C070A"/>
    <w:rsid w:val="007C0916"/>
    <w:rsid w:val="007C0FC6"/>
    <w:rsid w:val="007C12A0"/>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24AB"/>
    <w:rsid w:val="0080225A"/>
    <w:rsid w:val="008028BE"/>
    <w:rsid w:val="0080364E"/>
    <w:rsid w:val="008043E7"/>
    <w:rsid w:val="00805A9B"/>
    <w:rsid w:val="00807C0B"/>
    <w:rsid w:val="0081110D"/>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604BB"/>
    <w:rsid w:val="00860810"/>
    <w:rsid w:val="0086135F"/>
    <w:rsid w:val="0086610F"/>
    <w:rsid w:val="0086718D"/>
    <w:rsid w:val="00867BE7"/>
    <w:rsid w:val="008717E9"/>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6B53"/>
    <w:rsid w:val="0089769B"/>
    <w:rsid w:val="008A0433"/>
    <w:rsid w:val="008A0678"/>
    <w:rsid w:val="008A3814"/>
    <w:rsid w:val="008A4E71"/>
    <w:rsid w:val="008A6EE9"/>
    <w:rsid w:val="008B3222"/>
    <w:rsid w:val="008B3C78"/>
    <w:rsid w:val="008B513F"/>
    <w:rsid w:val="008B6AB3"/>
    <w:rsid w:val="008B7F93"/>
    <w:rsid w:val="008B7FD8"/>
    <w:rsid w:val="008C15DD"/>
    <w:rsid w:val="008C1DBF"/>
    <w:rsid w:val="008C2758"/>
    <w:rsid w:val="008C3AA4"/>
    <w:rsid w:val="008C416F"/>
    <w:rsid w:val="008C6CB7"/>
    <w:rsid w:val="008C7A67"/>
    <w:rsid w:val="008D0827"/>
    <w:rsid w:val="008D2C46"/>
    <w:rsid w:val="008D48C4"/>
    <w:rsid w:val="008D574C"/>
    <w:rsid w:val="008D68EE"/>
    <w:rsid w:val="008D6EF5"/>
    <w:rsid w:val="008E0D11"/>
    <w:rsid w:val="008E2A71"/>
    <w:rsid w:val="008E5EAA"/>
    <w:rsid w:val="008E7A15"/>
    <w:rsid w:val="008F1318"/>
    <w:rsid w:val="008F2AF3"/>
    <w:rsid w:val="008F2DF6"/>
    <w:rsid w:val="008F30EB"/>
    <w:rsid w:val="008F7423"/>
    <w:rsid w:val="00900FB6"/>
    <w:rsid w:val="00902F0F"/>
    <w:rsid w:val="00903445"/>
    <w:rsid w:val="00903CD8"/>
    <w:rsid w:val="0090492D"/>
    <w:rsid w:val="00904C15"/>
    <w:rsid w:val="00904CF2"/>
    <w:rsid w:val="009075C4"/>
    <w:rsid w:val="0091093E"/>
    <w:rsid w:val="009137E8"/>
    <w:rsid w:val="009157FA"/>
    <w:rsid w:val="009169D0"/>
    <w:rsid w:val="00920302"/>
    <w:rsid w:val="009217C0"/>
    <w:rsid w:val="00921A58"/>
    <w:rsid w:val="0092318F"/>
    <w:rsid w:val="009238FE"/>
    <w:rsid w:val="00925F8D"/>
    <w:rsid w:val="00927EEC"/>
    <w:rsid w:val="00930A70"/>
    <w:rsid w:val="00931202"/>
    <w:rsid w:val="00934711"/>
    <w:rsid w:val="00934D3B"/>
    <w:rsid w:val="0093796E"/>
    <w:rsid w:val="00940A75"/>
    <w:rsid w:val="009411C6"/>
    <w:rsid w:val="009451F7"/>
    <w:rsid w:val="00945234"/>
    <w:rsid w:val="00950FBB"/>
    <w:rsid w:val="00951898"/>
    <w:rsid w:val="009561EE"/>
    <w:rsid w:val="009573AC"/>
    <w:rsid w:val="009600E7"/>
    <w:rsid w:val="0096373F"/>
    <w:rsid w:val="00965B7A"/>
    <w:rsid w:val="00967735"/>
    <w:rsid w:val="00973FA9"/>
    <w:rsid w:val="009748B7"/>
    <w:rsid w:val="0097493D"/>
    <w:rsid w:val="00976451"/>
    <w:rsid w:val="00983152"/>
    <w:rsid w:val="00983D69"/>
    <w:rsid w:val="00984297"/>
    <w:rsid w:val="0098481B"/>
    <w:rsid w:val="00984A49"/>
    <w:rsid w:val="00986791"/>
    <w:rsid w:val="00987FF7"/>
    <w:rsid w:val="00990794"/>
    <w:rsid w:val="00990B20"/>
    <w:rsid w:val="009918DF"/>
    <w:rsid w:val="00991EA3"/>
    <w:rsid w:val="00993081"/>
    <w:rsid w:val="009961E7"/>
    <w:rsid w:val="0099683D"/>
    <w:rsid w:val="009A013A"/>
    <w:rsid w:val="009A17F8"/>
    <w:rsid w:val="009A2988"/>
    <w:rsid w:val="009A4948"/>
    <w:rsid w:val="009A5529"/>
    <w:rsid w:val="009B1B59"/>
    <w:rsid w:val="009B1DD0"/>
    <w:rsid w:val="009B28B4"/>
    <w:rsid w:val="009B4DB1"/>
    <w:rsid w:val="009B6E35"/>
    <w:rsid w:val="009C0958"/>
    <w:rsid w:val="009C1D20"/>
    <w:rsid w:val="009C2290"/>
    <w:rsid w:val="009C2F18"/>
    <w:rsid w:val="009C3CE9"/>
    <w:rsid w:val="009C3D1C"/>
    <w:rsid w:val="009C59E8"/>
    <w:rsid w:val="009D0F87"/>
    <w:rsid w:val="009D126B"/>
    <w:rsid w:val="009D1785"/>
    <w:rsid w:val="009D24B3"/>
    <w:rsid w:val="009D3268"/>
    <w:rsid w:val="009D33A8"/>
    <w:rsid w:val="009D5ABB"/>
    <w:rsid w:val="009D7C29"/>
    <w:rsid w:val="009E0C93"/>
    <w:rsid w:val="009E1AB7"/>
    <w:rsid w:val="009E1B85"/>
    <w:rsid w:val="009E369D"/>
    <w:rsid w:val="009E3C01"/>
    <w:rsid w:val="009E5532"/>
    <w:rsid w:val="009E5F5B"/>
    <w:rsid w:val="009E712A"/>
    <w:rsid w:val="009F19F6"/>
    <w:rsid w:val="009F38FB"/>
    <w:rsid w:val="009F5E89"/>
    <w:rsid w:val="009F6449"/>
    <w:rsid w:val="00A02FD6"/>
    <w:rsid w:val="00A040FD"/>
    <w:rsid w:val="00A057E5"/>
    <w:rsid w:val="00A05F6D"/>
    <w:rsid w:val="00A13B5E"/>
    <w:rsid w:val="00A140A6"/>
    <w:rsid w:val="00A143B0"/>
    <w:rsid w:val="00A152B1"/>
    <w:rsid w:val="00A1604E"/>
    <w:rsid w:val="00A1654D"/>
    <w:rsid w:val="00A20A9A"/>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4BB9"/>
    <w:rsid w:val="00A45CD4"/>
    <w:rsid w:val="00A46CB6"/>
    <w:rsid w:val="00A47CA5"/>
    <w:rsid w:val="00A51027"/>
    <w:rsid w:val="00A51227"/>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1DF6"/>
    <w:rsid w:val="00A827C0"/>
    <w:rsid w:val="00A83D2F"/>
    <w:rsid w:val="00A84300"/>
    <w:rsid w:val="00A85E24"/>
    <w:rsid w:val="00A91175"/>
    <w:rsid w:val="00A924FF"/>
    <w:rsid w:val="00A92721"/>
    <w:rsid w:val="00A92C2B"/>
    <w:rsid w:val="00A9390D"/>
    <w:rsid w:val="00AA1BDC"/>
    <w:rsid w:val="00AA23CB"/>
    <w:rsid w:val="00AA439D"/>
    <w:rsid w:val="00AA46EC"/>
    <w:rsid w:val="00AA4773"/>
    <w:rsid w:val="00AA67E5"/>
    <w:rsid w:val="00AA704D"/>
    <w:rsid w:val="00AA7145"/>
    <w:rsid w:val="00AB1903"/>
    <w:rsid w:val="00AB4BA6"/>
    <w:rsid w:val="00AC068B"/>
    <w:rsid w:val="00AC06C0"/>
    <w:rsid w:val="00AC1121"/>
    <w:rsid w:val="00AC124F"/>
    <w:rsid w:val="00AC1332"/>
    <w:rsid w:val="00AC2BB7"/>
    <w:rsid w:val="00AC3124"/>
    <w:rsid w:val="00AC4248"/>
    <w:rsid w:val="00AC6154"/>
    <w:rsid w:val="00AC7A97"/>
    <w:rsid w:val="00AD2C8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7F10"/>
    <w:rsid w:val="00B3046E"/>
    <w:rsid w:val="00B304E1"/>
    <w:rsid w:val="00B30F3A"/>
    <w:rsid w:val="00B364CB"/>
    <w:rsid w:val="00B42AB1"/>
    <w:rsid w:val="00B45AFD"/>
    <w:rsid w:val="00B4622A"/>
    <w:rsid w:val="00B46629"/>
    <w:rsid w:val="00B46AEA"/>
    <w:rsid w:val="00B479D0"/>
    <w:rsid w:val="00B502F2"/>
    <w:rsid w:val="00B525F1"/>
    <w:rsid w:val="00B52BC9"/>
    <w:rsid w:val="00B570AB"/>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5313"/>
    <w:rsid w:val="00B96913"/>
    <w:rsid w:val="00B9727B"/>
    <w:rsid w:val="00BA1027"/>
    <w:rsid w:val="00BA1A74"/>
    <w:rsid w:val="00BA3ABC"/>
    <w:rsid w:val="00BA6205"/>
    <w:rsid w:val="00BA68F2"/>
    <w:rsid w:val="00BA6B60"/>
    <w:rsid w:val="00BB197B"/>
    <w:rsid w:val="00BB3FA3"/>
    <w:rsid w:val="00BB6EA4"/>
    <w:rsid w:val="00BB765B"/>
    <w:rsid w:val="00BB7823"/>
    <w:rsid w:val="00BB79B9"/>
    <w:rsid w:val="00BB7DFE"/>
    <w:rsid w:val="00BC0016"/>
    <w:rsid w:val="00BC191D"/>
    <w:rsid w:val="00BC2803"/>
    <w:rsid w:val="00BC3CC4"/>
    <w:rsid w:val="00BC3E48"/>
    <w:rsid w:val="00BC4D08"/>
    <w:rsid w:val="00BD05EC"/>
    <w:rsid w:val="00BD34C7"/>
    <w:rsid w:val="00BD3FCB"/>
    <w:rsid w:val="00BD40CA"/>
    <w:rsid w:val="00BD46E9"/>
    <w:rsid w:val="00BD542C"/>
    <w:rsid w:val="00BE0B6E"/>
    <w:rsid w:val="00BE37E6"/>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4D9D"/>
    <w:rsid w:val="00C05800"/>
    <w:rsid w:val="00C07939"/>
    <w:rsid w:val="00C1023D"/>
    <w:rsid w:val="00C10387"/>
    <w:rsid w:val="00C11D84"/>
    <w:rsid w:val="00C13007"/>
    <w:rsid w:val="00C13458"/>
    <w:rsid w:val="00C1456C"/>
    <w:rsid w:val="00C14699"/>
    <w:rsid w:val="00C14B6E"/>
    <w:rsid w:val="00C14DF5"/>
    <w:rsid w:val="00C15254"/>
    <w:rsid w:val="00C15BCA"/>
    <w:rsid w:val="00C1658D"/>
    <w:rsid w:val="00C16C83"/>
    <w:rsid w:val="00C1711C"/>
    <w:rsid w:val="00C20F34"/>
    <w:rsid w:val="00C215E8"/>
    <w:rsid w:val="00C220F7"/>
    <w:rsid w:val="00C2380F"/>
    <w:rsid w:val="00C26661"/>
    <w:rsid w:val="00C27524"/>
    <w:rsid w:val="00C34CDF"/>
    <w:rsid w:val="00C354E3"/>
    <w:rsid w:val="00C35DF2"/>
    <w:rsid w:val="00C36CB8"/>
    <w:rsid w:val="00C36E6B"/>
    <w:rsid w:val="00C37212"/>
    <w:rsid w:val="00C37BF1"/>
    <w:rsid w:val="00C37D6E"/>
    <w:rsid w:val="00C4214C"/>
    <w:rsid w:val="00C44412"/>
    <w:rsid w:val="00C44E13"/>
    <w:rsid w:val="00C50462"/>
    <w:rsid w:val="00C50595"/>
    <w:rsid w:val="00C50B5B"/>
    <w:rsid w:val="00C50D64"/>
    <w:rsid w:val="00C51DD3"/>
    <w:rsid w:val="00C5312E"/>
    <w:rsid w:val="00C55400"/>
    <w:rsid w:val="00C557A4"/>
    <w:rsid w:val="00C637B3"/>
    <w:rsid w:val="00C641FF"/>
    <w:rsid w:val="00C64A83"/>
    <w:rsid w:val="00C64C64"/>
    <w:rsid w:val="00C67020"/>
    <w:rsid w:val="00C67D78"/>
    <w:rsid w:val="00C7091F"/>
    <w:rsid w:val="00C70AD9"/>
    <w:rsid w:val="00C71264"/>
    <w:rsid w:val="00C71EC4"/>
    <w:rsid w:val="00C73E8F"/>
    <w:rsid w:val="00C74228"/>
    <w:rsid w:val="00C74E72"/>
    <w:rsid w:val="00C7538B"/>
    <w:rsid w:val="00C76E71"/>
    <w:rsid w:val="00C778EF"/>
    <w:rsid w:val="00C80560"/>
    <w:rsid w:val="00C81939"/>
    <w:rsid w:val="00C9080D"/>
    <w:rsid w:val="00C91155"/>
    <w:rsid w:val="00C913B4"/>
    <w:rsid w:val="00C916EF"/>
    <w:rsid w:val="00C91CB8"/>
    <w:rsid w:val="00C91DA0"/>
    <w:rsid w:val="00C92BBC"/>
    <w:rsid w:val="00C940E9"/>
    <w:rsid w:val="00C94253"/>
    <w:rsid w:val="00C95985"/>
    <w:rsid w:val="00C96033"/>
    <w:rsid w:val="00C97F25"/>
    <w:rsid w:val="00CA1DF9"/>
    <w:rsid w:val="00CA23D3"/>
    <w:rsid w:val="00CA3E2A"/>
    <w:rsid w:val="00CA5053"/>
    <w:rsid w:val="00CA5714"/>
    <w:rsid w:val="00CA579E"/>
    <w:rsid w:val="00CA5A88"/>
    <w:rsid w:val="00CA70B4"/>
    <w:rsid w:val="00CA7738"/>
    <w:rsid w:val="00CB1DD3"/>
    <w:rsid w:val="00CB253D"/>
    <w:rsid w:val="00CB5F3C"/>
    <w:rsid w:val="00CB7167"/>
    <w:rsid w:val="00CB7F6A"/>
    <w:rsid w:val="00CC1211"/>
    <w:rsid w:val="00CC1E30"/>
    <w:rsid w:val="00CC3755"/>
    <w:rsid w:val="00CC3BBA"/>
    <w:rsid w:val="00CC49A6"/>
    <w:rsid w:val="00CC5048"/>
    <w:rsid w:val="00CC6246"/>
    <w:rsid w:val="00CC642D"/>
    <w:rsid w:val="00CD089A"/>
    <w:rsid w:val="00CD3189"/>
    <w:rsid w:val="00CD41EE"/>
    <w:rsid w:val="00CD5F5C"/>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3881"/>
    <w:rsid w:val="00D14932"/>
    <w:rsid w:val="00D14ED2"/>
    <w:rsid w:val="00D17301"/>
    <w:rsid w:val="00D17F7E"/>
    <w:rsid w:val="00D2000C"/>
    <w:rsid w:val="00D20799"/>
    <w:rsid w:val="00D2127D"/>
    <w:rsid w:val="00D216A2"/>
    <w:rsid w:val="00D232D8"/>
    <w:rsid w:val="00D303FF"/>
    <w:rsid w:val="00D30AFF"/>
    <w:rsid w:val="00D35666"/>
    <w:rsid w:val="00D3775E"/>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45D1"/>
    <w:rsid w:val="00D56B76"/>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D9B"/>
    <w:rsid w:val="00D80F72"/>
    <w:rsid w:val="00D8163F"/>
    <w:rsid w:val="00D81E2F"/>
    <w:rsid w:val="00D82C8B"/>
    <w:rsid w:val="00D82E8D"/>
    <w:rsid w:val="00D83B26"/>
    <w:rsid w:val="00D85937"/>
    <w:rsid w:val="00D85BA1"/>
    <w:rsid w:val="00D870C3"/>
    <w:rsid w:val="00D9131E"/>
    <w:rsid w:val="00D91A6A"/>
    <w:rsid w:val="00D91D45"/>
    <w:rsid w:val="00D94405"/>
    <w:rsid w:val="00D9613A"/>
    <w:rsid w:val="00D9617D"/>
    <w:rsid w:val="00DA16BA"/>
    <w:rsid w:val="00DA1E6D"/>
    <w:rsid w:val="00DA2793"/>
    <w:rsid w:val="00DA3061"/>
    <w:rsid w:val="00DA46DA"/>
    <w:rsid w:val="00DA6120"/>
    <w:rsid w:val="00DA68A0"/>
    <w:rsid w:val="00DA691C"/>
    <w:rsid w:val="00DB21FB"/>
    <w:rsid w:val="00DB248F"/>
    <w:rsid w:val="00DB3917"/>
    <w:rsid w:val="00DB57C0"/>
    <w:rsid w:val="00DB607C"/>
    <w:rsid w:val="00DB75AB"/>
    <w:rsid w:val="00DB77DB"/>
    <w:rsid w:val="00DD05F3"/>
    <w:rsid w:val="00DD7ADB"/>
    <w:rsid w:val="00DE0597"/>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3767"/>
    <w:rsid w:val="00E04A57"/>
    <w:rsid w:val="00E05766"/>
    <w:rsid w:val="00E06272"/>
    <w:rsid w:val="00E07E18"/>
    <w:rsid w:val="00E10871"/>
    <w:rsid w:val="00E1416A"/>
    <w:rsid w:val="00E150F1"/>
    <w:rsid w:val="00E15BA1"/>
    <w:rsid w:val="00E205F1"/>
    <w:rsid w:val="00E21D19"/>
    <w:rsid w:val="00E221B8"/>
    <w:rsid w:val="00E2440E"/>
    <w:rsid w:val="00E24F3D"/>
    <w:rsid w:val="00E259E9"/>
    <w:rsid w:val="00E26CF8"/>
    <w:rsid w:val="00E27038"/>
    <w:rsid w:val="00E3053D"/>
    <w:rsid w:val="00E41238"/>
    <w:rsid w:val="00E4221C"/>
    <w:rsid w:val="00E42BF7"/>
    <w:rsid w:val="00E43324"/>
    <w:rsid w:val="00E51655"/>
    <w:rsid w:val="00E51E74"/>
    <w:rsid w:val="00E52D19"/>
    <w:rsid w:val="00E53583"/>
    <w:rsid w:val="00E53A6F"/>
    <w:rsid w:val="00E5532D"/>
    <w:rsid w:val="00E5615F"/>
    <w:rsid w:val="00E56922"/>
    <w:rsid w:val="00E57441"/>
    <w:rsid w:val="00E574C4"/>
    <w:rsid w:val="00E57E7C"/>
    <w:rsid w:val="00E62089"/>
    <w:rsid w:val="00E633CB"/>
    <w:rsid w:val="00E63A9A"/>
    <w:rsid w:val="00E63F1A"/>
    <w:rsid w:val="00E641FA"/>
    <w:rsid w:val="00E6717A"/>
    <w:rsid w:val="00E6798F"/>
    <w:rsid w:val="00E72156"/>
    <w:rsid w:val="00E72589"/>
    <w:rsid w:val="00E73581"/>
    <w:rsid w:val="00E74342"/>
    <w:rsid w:val="00E74BAD"/>
    <w:rsid w:val="00E7538E"/>
    <w:rsid w:val="00E75661"/>
    <w:rsid w:val="00E7628B"/>
    <w:rsid w:val="00E76520"/>
    <w:rsid w:val="00E76533"/>
    <w:rsid w:val="00E779C0"/>
    <w:rsid w:val="00E804BF"/>
    <w:rsid w:val="00E816AD"/>
    <w:rsid w:val="00E835B4"/>
    <w:rsid w:val="00E849F5"/>
    <w:rsid w:val="00E85200"/>
    <w:rsid w:val="00E868D0"/>
    <w:rsid w:val="00E878B7"/>
    <w:rsid w:val="00E87F98"/>
    <w:rsid w:val="00E91043"/>
    <w:rsid w:val="00E94D37"/>
    <w:rsid w:val="00E97D49"/>
    <w:rsid w:val="00EA04F7"/>
    <w:rsid w:val="00EA1117"/>
    <w:rsid w:val="00EA2ECC"/>
    <w:rsid w:val="00EA2F7D"/>
    <w:rsid w:val="00EA2FE2"/>
    <w:rsid w:val="00EA3C48"/>
    <w:rsid w:val="00EA562E"/>
    <w:rsid w:val="00EA6E36"/>
    <w:rsid w:val="00EB303A"/>
    <w:rsid w:val="00EB30F1"/>
    <w:rsid w:val="00EB3F1F"/>
    <w:rsid w:val="00EB5D5C"/>
    <w:rsid w:val="00EB78B8"/>
    <w:rsid w:val="00EB7B61"/>
    <w:rsid w:val="00EB7C0D"/>
    <w:rsid w:val="00EC12AA"/>
    <w:rsid w:val="00EC2C32"/>
    <w:rsid w:val="00EC3E99"/>
    <w:rsid w:val="00EC4ACE"/>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141"/>
    <w:rsid w:val="00F35ACB"/>
    <w:rsid w:val="00F41BB5"/>
    <w:rsid w:val="00F44A61"/>
    <w:rsid w:val="00F50B9B"/>
    <w:rsid w:val="00F515D9"/>
    <w:rsid w:val="00F5314A"/>
    <w:rsid w:val="00F53545"/>
    <w:rsid w:val="00F53FB5"/>
    <w:rsid w:val="00F55D5E"/>
    <w:rsid w:val="00F55E02"/>
    <w:rsid w:val="00F6099A"/>
    <w:rsid w:val="00F61A93"/>
    <w:rsid w:val="00F61ED0"/>
    <w:rsid w:val="00F646DF"/>
    <w:rsid w:val="00F657F8"/>
    <w:rsid w:val="00F66C08"/>
    <w:rsid w:val="00F66EA5"/>
    <w:rsid w:val="00F67577"/>
    <w:rsid w:val="00F70BF9"/>
    <w:rsid w:val="00F70FB2"/>
    <w:rsid w:val="00F71636"/>
    <w:rsid w:val="00F72306"/>
    <w:rsid w:val="00F777F9"/>
    <w:rsid w:val="00F805AD"/>
    <w:rsid w:val="00F82B0D"/>
    <w:rsid w:val="00F839E5"/>
    <w:rsid w:val="00F840A6"/>
    <w:rsid w:val="00F84815"/>
    <w:rsid w:val="00F85EDF"/>
    <w:rsid w:val="00F8725E"/>
    <w:rsid w:val="00F97841"/>
    <w:rsid w:val="00F97A74"/>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C11CE"/>
    <w:rsid w:val="00FC177B"/>
    <w:rsid w:val="00FC22D2"/>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2581"/>
    <w:rsid w:val="00FF2FBD"/>
    <w:rsid w:val="00FF31D3"/>
    <w:rsid w:val="00FF5563"/>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863C52-920F-4DCC-A25B-99F3E8E4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qFormat/>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iPriority w:val="99"/>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4346-1BE8-44BD-95BC-1E27186C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10680</Words>
  <Characters>58744</Characters>
  <Application>Microsoft Office Word</Application>
  <DocSecurity>0</DocSecurity>
  <Lines>489</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69286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dc:description/>
  <cp:lastModifiedBy>Maria Elena Ortiz Medina</cp:lastModifiedBy>
  <cp:revision>3</cp:revision>
  <cp:lastPrinted>2020-02-26T20:56:00Z</cp:lastPrinted>
  <dcterms:created xsi:type="dcterms:W3CDTF">2020-02-27T15:59:00Z</dcterms:created>
  <dcterms:modified xsi:type="dcterms:W3CDTF">2020-03-02T23:05:00Z</dcterms:modified>
</cp:coreProperties>
</file>